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9F13" w14:textId="0CBB6274" w:rsidR="00932A32" w:rsidRDefault="00932A32" w:rsidP="00932A32">
      <w:pPr>
        <w:pStyle w:val="Heading1"/>
      </w:pPr>
      <w:r w:rsidRPr="00932A32">
        <w:t>Protocol 2</w:t>
      </w:r>
      <w:r w:rsidR="001E14E4">
        <w:t>04</w:t>
      </w:r>
      <w:r w:rsidRPr="00932A32">
        <w:t xml:space="preserve">: </w:t>
      </w:r>
      <w:r w:rsidR="001E14E4">
        <w:t>Oilseeds fungicide and insecticide protocol</w:t>
      </w:r>
    </w:p>
    <w:p w14:paraId="47C66F9C" w14:textId="3732609C" w:rsidR="001E14E4" w:rsidRPr="001E14E4" w:rsidRDefault="001E14E4" w:rsidP="001E14E4">
      <w:pPr>
        <w:pStyle w:val="Heading1"/>
      </w:pPr>
      <w:r w:rsidRPr="001E14E4">
        <w:t>AHDB Recommended Lists (RL) for cereals and oilseeds: oilseed trials fungicide protocol</w:t>
      </w:r>
    </w:p>
    <w:p w14:paraId="176267BC" w14:textId="4601CA9D" w:rsidR="00910997" w:rsidRPr="00AB5719" w:rsidRDefault="00910997" w:rsidP="00F86FBC">
      <w:pPr>
        <w:pStyle w:val="Heading3"/>
        <w:rPr>
          <w:sz w:val="28"/>
          <w:szCs w:val="28"/>
        </w:rPr>
      </w:pPr>
      <w:r w:rsidRPr="00AB5719">
        <w:rPr>
          <w:sz w:val="28"/>
          <w:szCs w:val="28"/>
        </w:rPr>
        <w:t>(</w:t>
      </w:r>
      <w:r w:rsidR="00010C5F">
        <w:rPr>
          <w:sz w:val="28"/>
          <w:szCs w:val="28"/>
        </w:rPr>
        <w:t>V</w:t>
      </w:r>
      <w:r w:rsidRPr="00AB5719">
        <w:rPr>
          <w:sz w:val="28"/>
          <w:szCs w:val="28"/>
        </w:rPr>
        <w:t>ersion Dec 2</w:t>
      </w:r>
      <w:r w:rsidR="001E14E4">
        <w:rPr>
          <w:sz w:val="28"/>
          <w:szCs w:val="28"/>
        </w:rPr>
        <w:t>025</w:t>
      </w:r>
      <w:r w:rsidRPr="00AB5719">
        <w:rPr>
          <w:sz w:val="28"/>
          <w:szCs w:val="28"/>
        </w:rPr>
        <w:t>.</w:t>
      </w:r>
      <w:r w:rsidR="00010C5F">
        <w:rPr>
          <w:sz w:val="28"/>
          <w:szCs w:val="28"/>
        </w:rPr>
        <w:t>2, updated March 2026</w:t>
      </w:r>
      <w:r w:rsidRPr="00AB5719">
        <w:rPr>
          <w:sz w:val="28"/>
          <w:szCs w:val="28"/>
        </w:rPr>
        <w:t>)</w:t>
      </w:r>
    </w:p>
    <w:p w14:paraId="57570FA5" w14:textId="77777777" w:rsidR="001E14E4" w:rsidRDefault="001E14E4" w:rsidP="001E14E4"/>
    <w:p w14:paraId="712289C8" w14:textId="5F90F6C0" w:rsidR="001E14E4" w:rsidRDefault="001E14E4" w:rsidP="001E14E4">
      <w:r w:rsidRPr="00BD5A3A">
        <w:t>This protocol was believed to comply with relevant agrochemical, environmental and other regulations at the time of writing but it is the responsibility of the contractor to ensure that it continues to comply. In the event of non-compliance, the protocol should not be followed but the Field Trials Manager should be notified at once of how the protocol requirements would breach regulations.</w:t>
      </w:r>
    </w:p>
    <w:p w14:paraId="550CC2F4" w14:textId="77777777" w:rsidR="001E14E4" w:rsidRDefault="001E14E4" w:rsidP="001E14E4">
      <w:r w:rsidRPr="00BD5A3A">
        <w:t>Any deviation from this protocol other than under the circumstances described above may result in a breach of contract and should be agreed in advance.</w:t>
      </w:r>
    </w:p>
    <w:p w14:paraId="659FE9DF" w14:textId="77777777" w:rsidR="001E14E4" w:rsidRDefault="001E14E4" w:rsidP="001E14E4">
      <w:r w:rsidRPr="005661B1">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p>
    <w:p w14:paraId="42DC0B0B" w14:textId="77777777" w:rsidR="001E14E4" w:rsidRDefault="001E14E4" w:rsidP="001E14E4">
      <w:r w:rsidRPr="005661B1">
        <w:t>Reference herein to trade names and proprietary products without stating that they are protected does not imply that they may be regarded as unprotected and thus free for general use. No endorsement of named products is intended, nor is any criticism implied of other alternative, but unnamed, products.</w:t>
      </w:r>
    </w:p>
    <w:p w14:paraId="0EA08894" w14:textId="77777777" w:rsidR="001E14E4" w:rsidRDefault="001E14E4" w:rsidP="001E14E4">
      <w:r w:rsidRPr="005661B1">
        <w:t>AHDB Cereals &amp; Oilseeds is a part of the Agriculture and Horticulture Development Board (AHDB).</w:t>
      </w:r>
    </w:p>
    <w:p w14:paraId="1AE90947" w14:textId="77777777" w:rsidR="001E14E4" w:rsidRDefault="001E14E4" w:rsidP="00910997">
      <w:pPr>
        <w:pStyle w:val="Heading2"/>
      </w:pPr>
    </w:p>
    <w:p w14:paraId="4C9D3A4C" w14:textId="77777777" w:rsidR="001E14E4" w:rsidRDefault="001E14E4" w:rsidP="00910997">
      <w:pPr>
        <w:pStyle w:val="Heading2"/>
      </w:pPr>
    </w:p>
    <w:p w14:paraId="68D6F6CD" w14:textId="77777777" w:rsidR="001E14E4" w:rsidRDefault="001E14E4" w:rsidP="001E14E4">
      <w:pPr>
        <w:rPr>
          <w:rFonts w:eastAsia="Calibri"/>
          <w:b/>
          <w:sz w:val="28"/>
        </w:rPr>
      </w:pPr>
    </w:p>
    <w:p w14:paraId="02D82C47" w14:textId="77777777" w:rsidR="001E14E4" w:rsidRDefault="001E14E4" w:rsidP="001E14E4">
      <w:pPr>
        <w:rPr>
          <w:rFonts w:eastAsia="Calibri"/>
          <w:b/>
          <w:sz w:val="28"/>
        </w:rPr>
      </w:pPr>
    </w:p>
    <w:p w14:paraId="17840604" w14:textId="19C70359" w:rsidR="001E14E4" w:rsidRPr="001E14E4" w:rsidRDefault="001E14E4" w:rsidP="001E14E4">
      <w:pPr>
        <w:pStyle w:val="Heading2"/>
        <w:jc w:val="center"/>
      </w:pPr>
      <w:r w:rsidRPr="001E14E4">
        <w:lastRenderedPageBreak/>
        <w:t>Appendix 1 - Fungicide and Early Insecticide Protocol</w:t>
      </w:r>
    </w:p>
    <w:p w14:paraId="47B02803" w14:textId="391BEB92" w:rsidR="001E14E4" w:rsidRPr="001E14E4" w:rsidRDefault="001E14E4" w:rsidP="001E14E4">
      <w:pPr>
        <w:pStyle w:val="Heading3"/>
      </w:pPr>
      <w:r w:rsidRPr="001E14E4">
        <w:t>Introduction</w:t>
      </w:r>
    </w:p>
    <w:p w14:paraId="3B8C7C29" w14:textId="77777777" w:rsidR="001E14E4" w:rsidRDefault="001E14E4" w:rsidP="001E14E4">
      <w:pPr>
        <w:tabs>
          <w:tab w:val="left" w:pos="1134"/>
          <w:tab w:val="left" w:pos="2268"/>
          <w:tab w:val="left" w:pos="3402"/>
          <w:tab w:val="left" w:pos="4536"/>
          <w:tab w:val="left" w:pos="5670"/>
          <w:tab w:val="left" w:pos="6804"/>
          <w:tab w:val="left" w:pos="7938"/>
          <w:tab w:val="right" w:pos="10206"/>
        </w:tabs>
        <w:spacing w:after="0"/>
        <w:jc w:val="both"/>
      </w:pPr>
    </w:p>
    <w:p w14:paraId="4BFBD2D5" w14:textId="494D74F3"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rPr>
          <w:lang w:val="en-US"/>
        </w:rPr>
      </w:pPr>
      <w:r w:rsidRPr="00BD5A3A">
        <w:t xml:space="preserve">Recommendations by </w:t>
      </w:r>
      <w:r w:rsidRPr="00BD5A3A">
        <w:rPr>
          <w:lang w:val="en-US"/>
        </w:rPr>
        <w:t xml:space="preserve">Paul Gosling, BASIS Registration number R/E/8107/IFM. </w:t>
      </w:r>
    </w:p>
    <w:p w14:paraId="16D403C2"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rPr>
          <w:lang w:val="en-US"/>
        </w:rPr>
      </w:pPr>
    </w:p>
    <w:p w14:paraId="5EA0DCCD" w14:textId="309F974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r w:rsidRPr="00BD5A3A">
        <w:t xml:space="preserve">RL Trials Co-ordinator: </w:t>
      </w:r>
      <w:r w:rsidRPr="00BD5A3A">
        <w:tab/>
      </w:r>
      <w:r>
        <w:t xml:space="preserve"> </w:t>
      </w:r>
      <w:r>
        <w:tab/>
        <w:t xml:space="preserve"> Sean Burns </w:t>
      </w:r>
      <w:r>
        <w:tab/>
        <w:t>0773 639936</w:t>
      </w:r>
      <w:r w:rsidRPr="00BD5A3A">
        <w:t xml:space="preserve"> </w:t>
      </w:r>
    </w:p>
    <w:p w14:paraId="5C438E92"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r>
        <w:t>V</w:t>
      </w:r>
      <w:r w:rsidRPr="00BD5A3A">
        <w:t xml:space="preserve">L Co-ordinator: </w:t>
      </w:r>
      <w:r w:rsidRPr="00BD5A3A">
        <w:tab/>
      </w:r>
      <w:r w:rsidRPr="00BD5A3A">
        <w:tab/>
      </w:r>
      <w:r>
        <w:t xml:space="preserve"> Louise Everest </w:t>
      </w:r>
      <w:r>
        <w:tab/>
      </w:r>
      <w:r w:rsidRPr="00C57B53">
        <w:t>01353 653</w:t>
      </w:r>
      <w:r>
        <w:t xml:space="preserve">202 / </w:t>
      </w:r>
      <w:r w:rsidRPr="00755F19">
        <w:t>07917046705</w:t>
      </w:r>
    </w:p>
    <w:p w14:paraId="26C158AC"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p>
    <w:p w14:paraId="62738BF5"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r w:rsidRPr="00BD5A3A">
        <w:t xml:space="preserve">This programme is for use on AHDB Recommended List and </w:t>
      </w:r>
      <w:r>
        <w:t>Variety</w:t>
      </w:r>
      <w:r w:rsidRPr="00BD5A3A">
        <w:t xml:space="preserve"> List winter oilseed rape trials in 202</w:t>
      </w:r>
      <w:r>
        <w:t>6</w:t>
      </w:r>
      <w:r w:rsidRPr="00BD5A3A">
        <w:t>:</w:t>
      </w:r>
    </w:p>
    <w:p w14:paraId="05CD2F2B" w14:textId="77777777" w:rsidR="001E14E4" w:rsidRPr="002B44B6" w:rsidRDefault="001E14E4" w:rsidP="001E14E4">
      <w:pPr>
        <w:pStyle w:val="ListParagraph"/>
        <w:widowControl w:val="0"/>
        <w:numPr>
          <w:ilvl w:val="0"/>
          <w:numId w:val="36"/>
        </w:numPr>
        <w:tabs>
          <w:tab w:val="left" w:pos="1134"/>
          <w:tab w:val="left" w:pos="2268"/>
          <w:tab w:val="left" w:pos="3402"/>
          <w:tab w:val="left" w:pos="4536"/>
          <w:tab w:val="left" w:pos="5670"/>
          <w:tab w:val="left" w:pos="6804"/>
          <w:tab w:val="left" w:pos="7938"/>
          <w:tab w:val="right" w:pos="10206"/>
        </w:tabs>
        <w:overflowPunct w:val="0"/>
        <w:autoSpaceDE w:val="0"/>
        <w:autoSpaceDN w:val="0"/>
        <w:adjustRightInd w:val="0"/>
        <w:spacing w:after="0"/>
        <w:jc w:val="both"/>
        <w:rPr>
          <w:b/>
          <w:bCs/>
        </w:rPr>
      </w:pPr>
      <w:r w:rsidRPr="002B44B6">
        <w:rPr>
          <w:b/>
          <w:bCs/>
        </w:rPr>
        <w:t>For spring and summer applications to trials for harvest 202</w:t>
      </w:r>
      <w:r>
        <w:rPr>
          <w:b/>
          <w:bCs/>
        </w:rPr>
        <w:t>6</w:t>
      </w:r>
    </w:p>
    <w:p w14:paraId="2B972D15" w14:textId="77777777" w:rsidR="001E14E4" w:rsidRPr="002B44B6" w:rsidRDefault="001E14E4" w:rsidP="001E14E4">
      <w:pPr>
        <w:pStyle w:val="ListParagraph"/>
        <w:widowControl w:val="0"/>
        <w:numPr>
          <w:ilvl w:val="0"/>
          <w:numId w:val="36"/>
        </w:numPr>
        <w:tabs>
          <w:tab w:val="left" w:pos="1134"/>
          <w:tab w:val="left" w:pos="2268"/>
          <w:tab w:val="left" w:pos="3402"/>
          <w:tab w:val="left" w:pos="4536"/>
          <w:tab w:val="left" w:pos="5670"/>
          <w:tab w:val="left" w:pos="6804"/>
          <w:tab w:val="left" w:pos="7938"/>
          <w:tab w:val="right" w:pos="10206"/>
        </w:tabs>
        <w:overflowPunct w:val="0"/>
        <w:autoSpaceDE w:val="0"/>
        <w:autoSpaceDN w:val="0"/>
        <w:adjustRightInd w:val="0"/>
        <w:spacing w:after="0"/>
        <w:jc w:val="both"/>
        <w:rPr>
          <w:b/>
          <w:bCs/>
        </w:rPr>
      </w:pPr>
      <w:r w:rsidRPr="002B44B6">
        <w:rPr>
          <w:b/>
          <w:bCs/>
        </w:rPr>
        <w:t>For autumn applications to trials to be harvested in 202</w:t>
      </w:r>
      <w:r>
        <w:rPr>
          <w:b/>
          <w:bCs/>
        </w:rPr>
        <w:t>7</w:t>
      </w:r>
    </w:p>
    <w:p w14:paraId="61A95BC3" w14:textId="77777777" w:rsidR="001E14E4" w:rsidRDefault="001E14E4" w:rsidP="001E14E4">
      <w:pPr>
        <w:tabs>
          <w:tab w:val="left" w:pos="1134"/>
          <w:tab w:val="left" w:pos="2268"/>
          <w:tab w:val="left" w:pos="3402"/>
          <w:tab w:val="left" w:pos="4536"/>
          <w:tab w:val="left" w:pos="5670"/>
          <w:tab w:val="left" w:pos="6804"/>
          <w:tab w:val="left" w:pos="7938"/>
          <w:tab w:val="right" w:pos="10206"/>
        </w:tabs>
        <w:spacing w:after="0"/>
        <w:jc w:val="both"/>
      </w:pPr>
    </w:p>
    <w:p w14:paraId="39323F93"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r w:rsidRPr="00BD5A3A">
        <w:t xml:space="preserve">It is an experimental protocol and is designed to meet the protocol aim of keeping disease levels in treated plots as low as is possible in all varieties and in all trials. It is </w:t>
      </w:r>
      <w:r w:rsidRPr="00BD5A3A">
        <w:rPr>
          <w:u w:val="single"/>
        </w:rPr>
        <w:t>not</w:t>
      </w:r>
      <w:r w:rsidRPr="00BD5A3A">
        <w:t xml:space="preserve"> intended to follow commercial practice.</w:t>
      </w:r>
    </w:p>
    <w:p w14:paraId="57BDCE48"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p>
    <w:p w14:paraId="279F7EDE" w14:textId="77777777" w:rsidR="001E14E4" w:rsidRDefault="001E14E4" w:rsidP="001E14E4">
      <w:pPr>
        <w:keepLines/>
        <w:widowControl w:val="0"/>
        <w:spacing w:line="288" w:lineRule="auto"/>
        <w:jc w:val="both"/>
        <w:rPr>
          <w:i/>
          <w:iCs/>
        </w:rPr>
      </w:pPr>
      <w:r w:rsidRPr="00BD5A3A">
        <w:rPr>
          <w:u w:val="single"/>
        </w:rPr>
        <w:t>Please note</w:t>
      </w:r>
      <w:r w:rsidRPr="00BD5A3A">
        <w:t xml:space="preserve"> that most treatments are </w:t>
      </w:r>
      <w:r w:rsidRPr="001E6D78">
        <w:rPr>
          <w:b/>
          <w:bCs/>
        </w:rPr>
        <w:t>compulsory</w:t>
      </w:r>
      <w:r w:rsidRPr="00BD5A3A">
        <w:t xml:space="preserve">, and the rates and timings specified should be adhered to as closely as possible. The protocol is robust and, if applied correctly, should be effective. </w:t>
      </w:r>
      <w:r w:rsidRPr="001D139C">
        <w:rPr>
          <w:b/>
          <w:bCs/>
        </w:rPr>
        <w:t>Compulsory</w:t>
      </w:r>
      <w:r w:rsidRPr="00C94D69">
        <w:rPr>
          <w:b/>
          <w:bCs/>
        </w:rPr>
        <w:t xml:space="preserve"> treatments</w:t>
      </w:r>
      <w:r>
        <w:t xml:space="preserve"> are in bold text and </w:t>
      </w:r>
      <w:r w:rsidRPr="00C94D69">
        <w:rPr>
          <w:i/>
          <w:iCs/>
        </w:rPr>
        <w:t xml:space="preserve">Optional are in italics. </w:t>
      </w:r>
    </w:p>
    <w:p w14:paraId="2CD2D4E7"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r w:rsidRPr="00BD5A3A">
        <w:rPr>
          <w:b/>
          <w:bCs/>
        </w:rPr>
        <w:t xml:space="preserve">If, however, disease levels rise above 5% (e.g., if weather conditions do not allow optimal application), please contact </w:t>
      </w:r>
      <w:r>
        <w:rPr>
          <w:b/>
          <w:bCs/>
        </w:rPr>
        <w:t xml:space="preserve">Sean Burns </w:t>
      </w:r>
      <w:r w:rsidRPr="00BD5A3A">
        <w:rPr>
          <w:b/>
          <w:bCs/>
        </w:rPr>
        <w:t>(</w:t>
      </w:r>
      <w:r>
        <w:rPr>
          <w:b/>
          <w:bCs/>
        </w:rPr>
        <w:t>R</w:t>
      </w:r>
      <w:r w:rsidRPr="00BD5A3A">
        <w:rPr>
          <w:b/>
          <w:bCs/>
        </w:rPr>
        <w:t xml:space="preserve">L) or </w:t>
      </w:r>
      <w:r>
        <w:rPr>
          <w:b/>
          <w:bCs/>
        </w:rPr>
        <w:t xml:space="preserve">Louise Everest </w:t>
      </w:r>
      <w:r w:rsidRPr="00BD5A3A">
        <w:rPr>
          <w:b/>
          <w:bCs/>
        </w:rPr>
        <w:t>(</w:t>
      </w:r>
      <w:r>
        <w:rPr>
          <w:b/>
          <w:bCs/>
        </w:rPr>
        <w:t>V</w:t>
      </w:r>
      <w:r w:rsidRPr="00BD5A3A">
        <w:rPr>
          <w:b/>
          <w:bCs/>
        </w:rPr>
        <w:t>L) to discuss an appropriate course of action.</w:t>
      </w:r>
    </w:p>
    <w:p w14:paraId="2F3E7BFC"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p>
    <w:p w14:paraId="0B2732C4"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r w:rsidRPr="00BD5A3A">
        <w:t>Fungicides should be applied at the stated dose rates unless agreed otherwise with the regional advisors via the RL Trials Co-ordinator. Changes to dose rates will only be sanctioned in exceptional circumstances.</w:t>
      </w:r>
    </w:p>
    <w:p w14:paraId="79D32FDD"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p>
    <w:p w14:paraId="35E02700" w14:textId="77777777" w:rsidR="001E14E4" w:rsidRDefault="001E14E4" w:rsidP="001E14E4">
      <w:pPr>
        <w:tabs>
          <w:tab w:val="left" w:pos="1134"/>
          <w:tab w:val="left" w:pos="2268"/>
          <w:tab w:val="left" w:pos="3402"/>
          <w:tab w:val="left" w:pos="4536"/>
          <w:tab w:val="left" w:pos="5670"/>
          <w:tab w:val="left" w:pos="6804"/>
          <w:tab w:val="left" w:pos="7938"/>
          <w:tab w:val="right" w:pos="10206"/>
        </w:tabs>
        <w:spacing w:after="0"/>
        <w:jc w:val="both"/>
      </w:pPr>
      <w:r w:rsidRPr="00BD5A3A">
        <w:t xml:space="preserve">Please contact the RL Trials Co-ordinator or </w:t>
      </w:r>
      <w:r>
        <w:t>V</w:t>
      </w:r>
      <w:r w:rsidRPr="00BD5A3A">
        <w:t>L Co-ordinator if you have any difficulty in sourcing a particular product.</w:t>
      </w:r>
    </w:p>
    <w:p w14:paraId="7344EC42"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p>
    <w:p w14:paraId="3628A832" w14:textId="77777777" w:rsidR="001E14E4" w:rsidRDefault="001E14E4" w:rsidP="001E14E4">
      <w:pPr>
        <w:tabs>
          <w:tab w:val="left" w:pos="1134"/>
          <w:tab w:val="left" w:pos="2268"/>
          <w:tab w:val="left" w:pos="3402"/>
          <w:tab w:val="left" w:pos="4536"/>
          <w:tab w:val="left" w:pos="5670"/>
          <w:tab w:val="left" w:pos="6804"/>
          <w:tab w:val="left" w:pos="7938"/>
          <w:tab w:val="right" w:pos="10206"/>
        </w:tabs>
        <w:spacing w:after="0"/>
        <w:jc w:val="both"/>
      </w:pPr>
      <w:r w:rsidRPr="00BD5A3A">
        <w:t xml:space="preserve">In some cases, two or more products may be available from a company with the same active substances and formulation; if you wish to use such a product and it is not listed in this protocol, contact the RL Trials Co-ordinator or </w:t>
      </w:r>
      <w:r>
        <w:t>V</w:t>
      </w:r>
      <w:r w:rsidRPr="00BD5A3A">
        <w:t xml:space="preserve">L Co-ordinator. </w:t>
      </w:r>
    </w:p>
    <w:p w14:paraId="50C968B2" w14:textId="77777777" w:rsidR="001E14E4" w:rsidRPr="00BD5A3A" w:rsidRDefault="001E14E4" w:rsidP="001E14E4">
      <w:pPr>
        <w:tabs>
          <w:tab w:val="left" w:pos="1134"/>
          <w:tab w:val="left" w:pos="2268"/>
          <w:tab w:val="left" w:pos="3402"/>
          <w:tab w:val="left" w:pos="4536"/>
          <w:tab w:val="left" w:pos="5670"/>
          <w:tab w:val="left" w:pos="6804"/>
          <w:tab w:val="left" w:pos="7938"/>
          <w:tab w:val="right" w:pos="10206"/>
        </w:tabs>
        <w:spacing w:after="0"/>
        <w:jc w:val="both"/>
      </w:pPr>
    </w:p>
    <w:p w14:paraId="44A6376D" w14:textId="44E1FFE7" w:rsidR="001E14E4" w:rsidRDefault="001E14E4" w:rsidP="001E14E4">
      <w:r w:rsidRPr="00224D5D">
        <w:t xml:space="preserve">If a generic product is the only option available, check that the amount of active ingredient (ai) in the </w:t>
      </w:r>
      <w:r>
        <w:t xml:space="preserve">generic product is </w:t>
      </w:r>
      <w:r w:rsidRPr="00224D5D">
        <w:t>the</w:t>
      </w:r>
      <w:r>
        <w:t xml:space="preserve"> same as the </w:t>
      </w:r>
      <w:r w:rsidRPr="00224D5D">
        <w:t xml:space="preserve">rate </w:t>
      </w:r>
      <w:r>
        <w:t>give</w:t>
      </w:r>
      <w:r w:rsidR="00DD10C2">
        <w:t>n</w:t>
      </w:r>
      <w:r>
        <w:t xml:space="preserve"> </w:t>
      </w:r>
      <w:r w:rsidRPr="00224D5D">
        <w:t>in the protocol</w:t>
      </w:r>
      <w:r>
        <w:t>.</w:t>
      </w:r>
    </w:p>
    <w:p w14:paraId="67E7ABF6" w14:textId="26D641AC" w:rsidR="001E14E4" w:rsidRDefault="001E14E4" w:rsidP="001E14E4">
      <w:pPr>
        <w:tabs>
          <w:tab w:val="left" w:pos="1134"/>
          <w:tab w:val="left" w:pos="2268"/>
          <w:tab w:val="left" w:pos="3402"/>
          <w:tab w:val="left" w:pos="4536"/>
          <w:tab w:val="left" w:pos="5670"/>
          <w:tab w:val="left" w:pos="6804"/>
          <w:tab w:val="left" w:pos="7938"/>
          <w:tab w:val="right" w:pos="10206"/>
        </w:tabs>
        <w:spacing w:after="0"/>
      </w:pPr>
      <w:r w:rsidRPr="00BD5A3A">
        <w:rPr>
          <w:b/>
          <w:bCs/>
        </w:rPr>
        <w:t>Important:</w:t>
      </w:r>
      <w:r w:rsidRPr="00BD5A3A">
        <w:t xml:space="preserve"> Every care has been taken to ensure that all mixtures, rates and timings are approved, meeting COS</w:t>
      </w:r>
      <w:r w:rsidR="00310DEB">
        <w:t>H</w:t>
      </w:r>
      <w:r w:rsidRPr="00BD5A3A">
        <w:t>H regulations and manufacturer’s guidelines. However, it is the responsibility of the Trial Manager to ensure that they meet all current regulations at the time of application. The Trials Co-ordinators should be notified of any conflict between the protocol and current regulations.</w:t>
      </w:r>
    </w:p>
    <w:p w14:paraId="0336C9C8" w14:textId="77777777" w:rsidR="001E14E4" w:rsidRDefault="001E14E4" w:rsidP="001E14E4"/>
    <w:p w14:paraId="10BF981A" w14:textId="77777777" w:rsidR="001E14E4" w:rsidRDefault="001E14E4" w:rsidP="00910997">
      <w:pPr>
        <w:pStyle w:val="Heading2"/>
      </w:pPr>
    </w:p>
    <w:p w14:paraId="396CB7A1" w14:textId="77777777" w:rsidR="00187075" w:rsidRDefault="00187075" w:rsidP="00F90E21">
      <w:pPr>
        <w:pStyle w:val="Heading3"/>
      </w:pPr>
    </w:p>
    <w:p w14:paraId="112E41F4" w14:textId="2D232C71" w:rsidR="00910997" w:rsidRPr="00910997" w:rsidRDefault="00910997" w:rsidP="00F90E21">
      <w:pPr>
        <w:pStyle w:val="Heading3"/>
      </w:pPr>
      <w:r w:rsidRPr="00910997">
        <w:lastRenderedPageBreak/>
        <w:t>Changes from previous version</w:t>
      </w:r>
    </w:p>
    <w:p w14:paraId="717A2916" w14:textId="77777777" w:rsidR="001E14E4" w:rsidRPr="001E14E4" w:rsidRDefault="001E14E4" w:rsidP="00736B39">
      <w:pPr>
        <w:tabs>
          <w:tab w:val="left" w:pos="1134"/>
          <w:tab w:val="left" w:pos="2268"/>
          <w:tab w:val="left" w:pos="3402"/>
          <w:tab w:val="left" w:pos="4536"/>
          <w:tab w:val="left" w:pos="5670"/>
          <w:tab w:val="left" w:pos="6804"/>
          <w:tab w:val="left" w:pos="7938"/>
          <w:tab w:val="right" w:pos="10206"/>
        </w:tabs>
        <w:spacing w:after="0"/>
        <w:jc w:val="both"/>
        <w:rPr>
          <w:b/>
          <w:bCs/>
        </w:rPr>
      </w:pPr>
      <w:r w:rsidRPr="001E14E4">
        <w:rPr>
          <w:b/>
          <w:bCs/>
        </w:rPr>
        <w:t>Below is a summary of product changes from the previous protocol, please ensure that whoever is making the application has the up-to-date version of the protocol and understands the product and rates to be applied at each timing for respective crops.</w:t>
      </w:r>
    </w:p>
    <w:p w14:paraId="1A975D79" w14:textId="77777777" w:rsidR="00CD2B26" w:rsidRDefault="00CD2B26" w:rsidP="00CD2B26">
      <w:pPr>
        <w:rPr>
          <w:b/>
          <w:bCs/>
        </w:rPr>
      </w:pPr>
    </w:p>
    <w:p w14:paraId="3CD62A04" w14:textId="27C510F8" w:rsidR="00910997" w:rsidRPr="00CD2B26" w:rsidRDefault="00CD2B26" w:rsidP="00910997">
      <w:pPr>
        <w:rPr>
          <w:b/>
          <w:bCs/>
        </w:rPr>
      </w:pPr>
      <w:r w:rsidRPr="000F34D6">
        <w:rPr>
          <w:b/>
          <w:bCs/>
        </w:rPr>
        <w:t xml:space="preserve">Table 1. Table summarising </w:t>
      </w:r>
      <w:r>
        <w:rPr>
          <w:b/>
          <w:bCs/>
        </w:rPr>
        <w:t>changes made relative to previous version of this protocol document</w:t>
      </w:r>
    </w:p>
    <w:tbl>
      <w:tblPr>
        <w:tblStyle w:val="TableGrid1"/>
        <w:tblW w:w="9923" w:type="dxa"/>
        <w:jc w:val="center"/>
        <w:tblLook w:val="04A0" w:firstRow="1" w:lastRow="0" w:firstColumn="1" w:lastColumn="0" w:noHBand="0" w:noVBand="1"/>
      </w:tblPr>
      <w:tblGrid>
        <w:gridCol w:w="1162"/>
        <w:gridCol w:w="2094"/>
        <w:gridCol w:w="6667"/>
      </w:tblGrid>
      <w:tr w:rsidR="00910997" w:rsidRPr="00462A2F" w14:paraId="3392E26E" w14:textId="77777777" w:rsidTr="0058372E">
        <w:trPr>
          <w:jc w:val="center"/>
        </w:trPr>
        <w:tc>
          <w:tcPr>
            <w:tcW w:w="1162" w:type="dxa"/>
            <w:shd w:val="clear" w:color="auto" w:fill="E9F4FC"/>
          </w:tcPr>
          <w:p w14:paraId="748407FD" w14:textId="77777777" w:rsidR="00910997" w:rsidRPr="00FF16F4" w:rsidRDefault="00910997" w:rsidP="00910997">
            <w:pPr>
              <w:pStyle w:val="Tableheading"/>
              <w:rPr>
                <w:b w:val="0"/>
              </w:rPr>
            </w:pPr>
            <w:r w:rsidRPr="00FF16F4">
              <w:t>Page</w:t>
            </w:r>
          </w:p>
        </w:tc>
        <w:tc>
          <w:tcPr>
            <w:tcW w:w="2094" w:type="dxa"/>
            <w:shd w:val="clear" w:color="auto" w:fill="E9F4FC"/>
          </w:tcPr>
          <w:p w14:paraId="08336D8C" w14:textId="77777777" w:rsidR="00910997" w:rsidRPr="00FF16F4" w:rsidRDefault="00910997" w:rsidP="00910997">
            <w:pPr>
              <w:pStyle w:val="Tableheading"/>
              <w:rPr>
                <w:b w:val="0"/>
              </w:rPr>
            </w:pPr>
            <w:r w:rsidRPr="00FF16F4">
              <w:t>Timing</w:t>
            </w:r>
          </w:p>
        </w:tc>
        <w:tc>
          <w:tcPr>
            <w:tcW w:w="6667" w:type="dxa"/>
            <w:shd w:val="clear" w:color="auto" w:fill="E9F4FC"/>
          </w:tcPr>
          <w:p w14:paraId="37FE586B" w14:textId="77777777" w:rsidR="00910997" w:rsidRPr="00FF16F4" w:rsidRDefault="00910997" w:rsidP="00910997">
            <w:pPr>
              <w:pStyle w:val="Tableheading"/>
              <w:rPr>
                <w:b w:val="0"/>
              </w:rPr>
            </w:pPr>
            <w:r w:rsidRPr="00FF16F4">
              <w:t>Details of change</w:t>
            </w:r>
          </w:p>
        </w:tc>
      </w:tr>
      <w:tr w:rsidR="001E14E4" w:rsidRPr="002818FB" w14:paraId="73C702DB" w14:textId="77777777" w:rsidTr="00910997">
        <w:trPr>
          <w:jc w:val="center"/>
        </w:trPr>
        <w:tc>
          <w:tcPr>
            <w:tcW w:w="1162" w:type="dxa"/>
          </w:tcPr>
          <w:p w14:paraId="25055C78" w14:textId="572CDFCC" w:rsidR="001E14E4" w:rsidRPr="00F81998" w:rsidRDefault="001E14E4" w:rsidP="001E14E4">
            <w:pPr>
              <w:pStyle w:val="Table-Body-centred"/>
            </w:pPr>
            <w:r w:rsidRPr="00F81998">
              <w:t>5</w:t>
            </w:r>
          </w:p>
        </w:tc>
        <w:tc>
          <w:tcPr>
            <w:tcW w:w="2094" w:type="dxa"/>
          </w:tcPr>
          <w:p w14:paraId="59B93E82" w14:textId="247616A9" w:rsidR="001E14E4" w:rsidRPr="00F81998" w:rsidRDefault="001E14E4" w:rsidP="001E14E4">
            <w:pPr>
              <w:pStyle w:val="Table-Body-leftaligned"/>
              <w:keepLines/>
              <w:snapToGrid w:val="0"/>
              <w:jc w:val="center"/>
            </w:pPr>
            <w:r>
              <w:t>Autumn</w:t>
            </w:r>
          </w:p>
        </w:tc>
        <w:tc>
          <w:tcPr>
            <w:tcW w:w="6667" w:type="dxa"/>
          </w:tcPr>
          <w:p w14:paraId="3DAEBE4A" w14:textId="46F0856E" w:rsidR="001E14E4" w:rsidRPr="00F81998" w:rsidRDefault="001E14E4" w:rsidP="001E14E4">
            <w:pPr>
              <w:pStyle w:val="Table-Body-leftaligned"/>
              <w:keepLines/>
              <w:snapToGrid w:val="0"/>
            </w:pPr>
            <w:proofErr w:type="spellStart"/>
            <w:r>
              <w:rPr>
                <w:rFonts w:cs="Arial"/>
              </w:rPr>
              <w:t>Pyrafen</w:t>
            </w:r>
            <w:proofErr w:type="spellEnd"/>
            <w:r>
              <w:rPr>
                <w:rFonts w:cs="Arial"/>
              </w:rPr>
              <w:t xml:space="preserve"> – included as alternative </w:t>
            </w:r>
            <w:proofErr w:type="spellStart"/>
            <w:r>
              <w:rPr>
                <w:rFonts w:cs="Arial"/>
              </w:rPr>
              <w:t>Boscalid</w:t>
            </w:r>
            <w:proofErr w:type="spellEnd"/>
            <w:r>
              <w:rPr>
                <w:rFonts w:cs="Arial"/>
              </w:rPr>
              <w:t xml:space="preserve"> + </w:t>
            </w:r>
            <w:proofErr w:type="spellStart"/>
            <w:r>
              <w:rPr>
                <w:rFonts w:cs="Arial"/>
              </w:rPr>
              <w:t>Pyraclostrobin</w:t>
            </w:r>
            <w:proofErr w:type="spellEnd"/>
            <w:r>
              <w:rPr>
                <w:rFonts w:cs="Arial"/>
              </w:rPr>
              <w:t xml:space="preserve"> product.</w:t>
            </w:r>
          </w:p>
        </w:tc>
      </w:tr>
    </w:tbl>
    <w:p w14:paraId="0C65DDC1" w14:textId="77777777" w:rsidR="00187075" w:rsidRDefault="00187075" w:rsidP="00187075"/>
    <w:p w14:paraId="113E22DA" w14:textId="22FF9CA3" w:rsidR="00187075" w:rsidRPr="00187075" w:rsidRDefault="00187075" w:rsidP="00187075">
      <w:r w:rsidRPr="00187075">
        <w:t>Note – table</w:t>
      </w:r>
      <w:r>
        <w:t xml:space="preserve"> 1</w:t>
      </w:r>
      <w:r w:rsidRPr="00187075">
        <w:t xml:space="preserve"> </w:t>
      </w:r>
      <w:r>
        <w:t>(</w:t>
      </w:r>
      <w:r w:rsidRPr="00187075">
        <w:t>above</w:t>
      </w:r>
      <w:r>
        <w:t>)</w:t>
      </w:r>
      <w:r w:rsidRPr="00187075">
        <w:t xml:space="preserve"> captures the changes made in version 2025.1 after the annual December review. </w:t>
      </w:r>
    </w:p>
    <w:p w14:paraId="0CE0DDC4" w14:textId="1ACD6765" w:rsidR="00CD2B26" w:rsidRDefault="00187075" w:rsidP="00CD2B26">
      <w:r w:rsidRPr="00187075">
        <w:t xml:space="preserve">This version (2025.2) serves as an update to 2025.1, utilising a more accessible format. </w:t>
      </w:r>
    </w:p>
    <w:p w14:paraId="79BD7336" w14:textId="1D824399" w:rsidR="00CD2B26" w:rsidRPr="00CD2B26" w:rsidRDefault="00CD2B26" w:rsidP="00F90E21">
      <w:pPr>
        <w:pStyle w:val="Heading3"/>
      </w:pPr>
      <w:r w:rsidRPr="00CD2B26">
        <w:t>Products, active substances, and manufacturers</w:t>
      </w:r>
    </w:p>
    <w:p w14:paraId="2D070DA8" w14:textId="011D7ABF" w:rsidR="00CD2B26" w:rsidRPr="00CD2B26" w:rsidRDefault="00CD2B26" w:rsidP="00CD2B26">
      <w:pPr>
        <w:rPr>
          <w:b/>
          <w:bCs/>
        </w:rPr>
      </w:pPr>
      <w:r w:rsidRPr="000F34D6">
        <w:rPr>
          <w:b/>
          <w:bCs/>
        </w:rPr>
        <w:t xml:space="preserve">Table </w:t>
      </w:r>
      <w:r>
        <w:rPr>
          <w:b/>
          <w:bCs/>
        </w:rPr>
        <w:t>2</w:t>
      </w:r>
      <w:r w:rsidRPr="000F34D6">
        <w:rPr>
          <w:b/>
          <w:bCs/>
        </w:rPr>
        <w:t xml:space="preserve">. Table summarising </w:t>
      </w:r>
      <w:r>
        <w:rPr>
          <w:b/>
          <w:bCs/>
        </w:rPr>
        <w:t>products, active substances and manufacturers of oilseed fungicides and insecticides</w:t>
      </w:r>
    </w:p>
    <w:tbl>
      <w:tblPr>
        <w:tblStyle w:val="TableGrid1"/>
        <w:tblW w:w="9918" w:type="dxa"/>
        <w:jc w:val="center"/>
        <w:tblLook w:val="04A0" w:firstRow="1" w:lastRow="0" w:firstColumn="1" w:lastColumn="0" w:noHBand="0" w:noVBand="1"/>
      </w:tblPr>
      <w:tblGrid>
        <w:gridCol w:w="1438"/>
        <w:gridCol w:w="3377"/>
        <w:gridCol w:w="2693"/>
        <w:gridCol w:w="2410"/>
      </w:tblGrid>
      <w:tr w:rsidR="00736B39" w:rsidRPr="00462A2F" w14:paraId="63E30B33" w14:textId="77777777" w:rsidTr="00736B39">
        <w:trPr>
          <w:jc w:val="center"/>
        </w:trPr>
        <w:tc>
          <w:tcPr>
            <w:tcW w:w="1438" w:type="dxa"/>
            <w:shd w:val="clear" w:color="auto" w:fill="E9F4FC"/>
          </w:tcPr>
          <w:p w14:paraId="3403BC32" w14:textId="616F9EE6" w:rsidR="00736B39" w:rsidRPr="00FF16F4" w:rsidRDefault="00736B39" w:rsidP="00736B39">
            <w:pPr>
              <w:pStyle w:val="Tableheading"/>
              <w:rPr>
                <w:b w:val="0"/>
              </w:rPr>
            </w:pPr>
            <w:r w:rsidRPr="00FF16F4">
              <w:t>P</w:t>
            </w:r>
            <w:r>
              <w:t>roduct</w:t>
            </w:r>
          </w:p>
        </w:tc>
        <w:tc>
          <w:tcPr>
            <w:tcW w:w="3377" w:type="dxa"/>
            <w:shd w:val="clear" w:color="auto" w:fill="E9F4FC"/>
          </w:tcPr>
          <w:p w14:paraId="6BC4DBA6" w14:textId="77777777" w:rsidR="00736B39" w:rsidRDefault="00736B39" w:rsidP="00736B39">
            <w:pPr>
              <w:pStyle w:val="Tableheading"/>
            </w:pPr>
            <w:r>
              <w:t xml:space="preserve">Active Substance(s) </w:t>
            </w:r>
          </w:p>
          <w:p w14:paraId="5F4A55BC" w14:textId="75E84C52" w:rsidR="00736B39" w:rsidRPr="00FF16F4" w:rsidRDefault="00736B39" w:rsidP="00736B39">
            <w:pPr>
              <w:pStyle w:val="Tableheading"/>
            </w:pPr>
            <w:r>
              <w:t>&amp; Fungicide Group</w:t>
            </w:r>
          </w:p>
        </w:tc>
        <w:tc>
          <w:tcPr>
            <w:tcW w:w="2693" w:type="dxa"/>
            <w:shd w:val="clear" w:color="auto" w:fill="E9F4FC"/>
          </w:tcPr>
          <w:p w14:paraId="4E850280" w14:textId="77777777" w:rsidR="00736B39" w:rsidRDefault="00736B39" w:rsidP="00736B39">
            <w:pPr>
              <w:pStyle w:val="Tableheading"/>
            </w:pPr>
            <w:r>
              <w:t>Max dose/No of</w:t>
            </w:r>
          </w:p>
          <w:p w14:paraId="60C82878" w14:textId="5FBDB78C" w:rsidR="00736B39" w:rsidRDefault="00736B39" w:rsidP="00736B39">
            <w:pPr>
              <w:pStyle w:val="Tableheading"/>
            </w:pPr>
            <w:r>
              <w:t>Applications</w:t>
            </w:r>
          </w:p>
        </w:tc>
        <w:tc>
          <w:tcPr>
            <w:tcW w:w="2410" w:type="dxa"/>
            <w:shd w:val="clear" w:color="auto" w:fill="E9F4FC"/>
          </w:tcPr>
          <w:p w14:paraId="51BD3D3C" w14:textId="7F082930" w:rsidR="00736B39" w:rsidRPr="00FF16F4" w:rsidRDefault="00736B39" w:rsidP="00736B39">
            <w:pPr>
              <w:pStyle w:val="Tableheading"/>
              <w:rPr>
                <w:b w:val="0"/>
              </w:rPr>
            </w:pPr>
            <w:r w:rsidRPr="00CD2B26">
              <w:t>Manufacturer</w:t>
            </w:r>
          </w:p>
        </w:tc>
      </w:tr>
      <w:tr w:rsidR="00736B39" w:rsidRPr="002818FB" w14:paraId="566007CD" w14:textId="77777777" w:rsidTr="00736B39">
        <w:trPr>
          <w:trHeight w:val="846"/>
          <w:jc w:val="center"/>
        </w:trPr>
        <w:tc>
          <w:tcPr>
            <w:tcW w:w="1438" w:type="dxa"/>
          </w:tcPr>
          <w:p w14:paraId="18318CA8" w14:textId="59E47438" w:rsidR="00736B39" w:rsidRPr="00F81998" w:rsidRDefault="00736B39" w:rsidP="00736B39">
            <w:pPr>
              <w:pStyle w:val="Table-Body-centred"/>
            </w:pPr>
            <w:r>
              <w:t xml:space="preserve">Shepherd or </w:t>
            </w:r>
            <w:proofErr w:type="spellStart"/>
            <w:r>
              <w:t>Pyrafen</w:t>
            </w:r>
            <w:proofErr w:type="spellEnd"/>
            <w:r>
              <w:t>*</w:t>
            </w:r>
          </w:p>
        </w:tc>
        <w:tc>
          <w:tcPr>
            <w:tcW w:w="3377" w:type="dxa"/>
          </w:tcPr>
          <w:p w14:paraId="5BE510B1" w14:textId="7A2B64DD" w:rsidR="00736B39" w:rsidRDefault="00736B39" w:rsidP="00736B39">
            <w:pPr>
              <w:pStyle w:val="Table-Body-leftaligned"/>
              <w:keepLines/>
              <w:snapToGrid w:val="0"/>
              <w:rPr>
                <w:rFonts w:cs="Arial"/>
              </w:rPr>
            </w:pPr>
            <w:r>
              <w:rPr>
                <w:rFonts w:cs="Arial"/>
              </w:rPr>
              <w:t xml:space="preserve">150g/l </w:t>
            </w:r>
            <w:proofErr w:type="spellStart"/>
            <w:r>
              <w:rPr>
                <w:rFonts w:cs="Arial"/>
              </w:rPr>
              <w:t>B</w:t>
            </w:r>
            <w:r w:rsidRPr="00BD5A3A">
              <w:rPr>
                <w:rFonts w:cs="Arial"/>
              </w:rPr>
              <w:t>oscalid</w:t>
            </w:r>
            <w:proofErr w:type="spellEnd"/>
            <w:r>
              <w:rPr>
                <w:rFonts w:cs="Arial"/>
              </w:rPr>
              <w:t xml:space="preserve"> (SDHI Group 7),</w:t>
            </w:r>
          </w:p>
          <w:p w14:paraId="2EEC4504" w14:textId="3160713D" w:rsidR="00736B39" w:rsidRPr="00F81998" w:rsidRDefault="00736B39" w:rsidP="00736B39">
            <w:pPr>
              <w:pStyle w:val="Table-Body-leftaligned"/>
              <w:keepLines/>
              <w:snapToGrid w:val="0"/>
            </w:pPr>
            <w:r>
              <w:rPr>
                <w:rFonts w:cs="Arial"/>
              </w:rPr>
              <w:t xml:space="preserve">250g/l </w:t>
            </w:r>
            <w:proofErr w:type="spellStart"/>
            <w:r>
              <w:rPr>
                <w:rFonts w:cs="Arial"/>
              </w:rPr>
              <w:t>P</w:t>
            </w:r>
            <w:r w:rsidRPr="005B70E7">
              <w:rPr>
                <w:rFonts w:cs="Arial"/>
              </w:rPr>
              <w:t>yraclostrobin</w:t>
            </w:r>
            <w:proofErr w:type="spellEnd"/>
            <w:r>
              <w:rPr>
                <w:rFonts w:cs="Arial"/>
              </w:rPr>
              <w:t xml:space="preserve"> (</w:t>
            </w:r>
            <w:proofErr w:type="spellStart"/>
            <w:r w:rsidRPr="00736B39">
              <w:rPr>
                <w:rFonts w:cs="Arial"/>
              </w:rPr>
              <w:t>QoI</w:t>
            </w:r>
            <w:proofErr w:type="spellEnd"/>
            <w:r w:rsidRPr="00736B39">
              <w:rPr>
                <w:rFonts w:cs="Arial"/>
              </w:rPr>
              <w:t xml:space="preserve"> Group 11</w:t>
            </w:r>
            <w:r>
              <w:rPr>
                <w:rFonts w:cs="Arial"/>
              </w:rPr>
              <w:t>)</w:t>
            </w:r>
          </w:p>
        </w:tc>
        <w:tc>
          <w:tcPr>
            <w:tcW w:w="2693" w:type="dxa"/>
          </w:tcPr>
          <w:p w14:paraId="281C0944" w14:textId="0C3767E7" w:rsidR="00736B39" w:rsidRPr="00FA5EBB" w:rsidRDefault="00736B39" w:rsidP="003D4FE9">
            <w:pPr>
              <w:pStyle w:val="Table-Body-leftaligned"/>
              <w:keepLines/>
              <w:snapToGrid w:val="0"/>
              <w:rPr>
                <w:rFonts w:cs="Arial"/>
              </w:rPr>
            </w:pPr>
            <w:r w:rsidRPr="00CD2B26">
              <w:rPr>
                <w:rFonts w:cs="Arial"/>
              </w:rPr>
              <w:t>0.8 l/ha max individual dose &amp; max total dose per crop.</w:t>
            </w:r>
          </w:p>
        </w:tc>
        <w:tc>
          <w:tcPr>
            <w:tcW w:w="2410" w:type="dxa"/>
          </w:tcPr>
          <w:p w14:paraId="1D7CC360" w14:textId="0F23A614" w:rsidR="00736B39" w:rsidRPr="00F81998" w:rsidRDefault="00736B39" w:rsidP="003D4FE9">
            <w:pPr>
              <w:pStyle w:val="Table-Body-leftaligned"/>
              <w:keepLines/>
              <w:snapToGrid w:val="0"/>
            </w:pPr>
            <w:r w:rsidRPr="00BD5A3A">
              <w:rPr>
                <w:rFonts w:cs="Arial"/>
              </w:rPr>
              <w:t>BASF</w:t>
            </w:r>
          </w:p>
        </w:tc>
      </w:tr>
      <w:tr w:rsidR="00736B39" w:rsidRPr="002818FB" w14:paraId="5E36FCCE" w14:textId="77777777" w:rsidTr="00736B39">
        <w:trPr>
          <w:jc w:val="center"/>
        </w:trPr>
        <w:tc>
          <w:tcPr>
            <w:tcW w:w="1438" w:type="dxa"/>
          </w:tcPr>
          <w:p w14:paraId="682E0987" w14:textId="7E8D52AF" w:rsidR="00736B39" w:rsidRDefault="00736B39" w:rsidP="00736B39">
            <w:pPr>
              <w:pStyle w:val="Table-Body-centred"/>
            </w:pPr>
            <w:r w:rsidRPr="00BD5A3A">
              <w:t>Pictor</w:t>
            </w:r>
          </w:p>
        </w:tc>
        <w:tc>
          <w:tcPr>
            <w:tcW w:w="3377" w:type="dxa"/>
          </w:tcPr>
          <w:p w14:paraId="7E5DD33F" w14:textId="77777777" w:rsidR="00736B39" w:rsidRDefault="00736B39" w:rsidP="00736B39">
            <w:pPr>
              <w:pStyle w:val="Table-Body-leftaligned"/>
              <w:keepLines/>
              <w:snapToGrid w:val="0"/>
              <w:rPr>
                <w:rFonts w:cs="Arial"/>
              </w:rPr>
            </w:pPr>
            <w:r>
              <w:rPr>
                <w:rFonts w:cs="Arial"/>
              </w:rPr>
              <w:t xml:space="preserve">200g/l </w:t>
            </w:r>
            <w:proofErr w:type="spellStart"/>
            <w:r>
              <w:rPr>
                <w:rFonts w:cs="Arial"/>
              </w:rPr>
              <w:t>B</w:t>
            </w:r>
            <w:r w:rsidRPr="00BD5A3A">
              <w:rPr>
                <w:rFonts w:cs="Arial"/>
              </w:rPr>
              <w:t>oscalid</w:t>
            </w:r>
            <w:proofErr w:type="spellEnd"/>
            <w:r>
              <w:rPr>
                <w:rFonts w:cs="Arial"/>
              </w:rPr>
              <w:t xml:space="preserve"> (SDHI Group 7),</w:t>
            </w:r>
          </w:p>
          <w:p w14:paraId="1DC1B249" w14:textId="706218C9" w:rsidR="00736B39" w:rsidRPr="00F81998" w:rsidRDefault="00736B39" w:rsidP="00736B39">
            <w:pPr>
              <w:pStyle w:val="Table-Body-leftaligned"/>
              <w:keepLines/>
              <w:snapToGrid w:val="0"/>
            </w:pPr>
            <w:r>
              <w:rPr>
                <w:rFonts w:cs="Arial"/>
              </w:rPr>
              <w:t xml:space="preserve">200g/l </w:t>
            </w:r>
            <w:proofErr w:type="spellStart"/>
            <w:r>
              <w:rPr>
                <w:rFonts w:cs="Arial"/>
              </w:rPr>
              <w:t>D</w:t>
            </w:r>
            <w:r w:rsidRPr="00BD5A3A">
              <w:rPr>
                <w:rFonts w:cs="Arial"/>
              </w:rPr>
              <w:t>imoxystrobin</w:t>
            </w:r>
            <w:proofErr w:type="spellEnd"/>
            <w:r>
              <w:rPr>
                <w:rFonts w:cs="Arial"/>
              </w:rPr>
              <w:t xml:space="preserve"> (</w:t>
            </w:r>
            <w:proofErr w:type="spellStart"/>
            <w:r w:rsidRPr="00736B39">
              <w:rPr>
                <w:rFonts w:cs="Arial"/>
              </w:rPr>
              <w:t>QoI</w:t>
            </w:r>
            <w:proofErr w:type="spellEnd"/>
            <w:r w:rsidRPr="00736B39">
              <w:rPr>
                <w:rFonts w:cs="Arial"/>
              </w:rPr>
              <w:t xml:space="preserve"> Group 11</w:t>
            </w:r>
            <w:r>
              <w:rPr>
                <w:rFonts w:cs="Arial"/>
              </w:rPr>
              <w:t>)</w:t>
            </w:r>
          </w:p>
        </w:tc>
        <w:tc>
          <w:tcPr>
            <w:tcW w:w="2693" w:type="dxa"/>
          </w:tcPr>
          <w:p w14:paraId="45C6D79E" w14:textId="4499CDED" w:rsidR="00736B39" w:rsidRPr="00FA5EBB" w:rsidRDefault="00736B39" w:rsidP="003D4FE9">
            <w:pPr>
              <w:pStyle w:val="Table-Body-leftaligned"/>
              <w:keepLines/>
              <w:snapToGrid w:val="0"/>
              <w:rPr>
                <w:rFonts w:cs="Arial"/>
              </w:rPr>
            </w:pPr>
            <w:r w:rsidRPr="00CD2B26">
              <w:rPr>
                <w:rFonts w:cs="Arial"/>
              </w:rPr>
              <w:t>0.5 l/ha max individual dose.1.0 l/ha max total dose per crop.</w:t>
            </w:r>
          </w:p>
        </w:tc>
        <w:tc>
          <w:tcPr>
            <w:tcW w:w="2410" w:type="dxa"/>
          </w:tcPr>
          <w:p w14:paraId="201845B5" w14:textId="65A6F37A" w:rsidR="00736B39" w:rsidRPr="00F81998" w:rsidRDefault="00736B39" w:rsidP="003D4FE9">
            <w:pPr>
              <w:pStyle w:val="Table-Body-leftaligned"/>
              <w:keepLines/>
              <w:snapToGrid w:val="0"/>
            </w:pPr>
            <w:r w:rsidRPr="00BD5A3A">
              <w:rPr>
                <w:rFonts w:cs="Arial"/>
              </w:rPr>
              <w:t>BASF</w:t>
            </w:r>
          </w:p>
        </w:tc>
      </w:tr>
      <w:tr w:rsidR="00736B39" w:rsidRPr="002818FB" w14:paraId="2E9A35E5" w14:textId="77777777" w:rsidTr="00736B39">
        <w:trPr>
          <w:jc w:val="center"/>
        </w:trPr>
        <w:tc>
          <w:tcPr>
            <w:tcW w:w="1438" w:type="dxa"/>
          </w:tcPr>
          <w:p w14:paraId="7C11C61F" w14:textId="6D124D75" w:rsidR="00736B39" w:rsidRPr="00FA5EBB" w:rsidRDefault="00736B39" w:rsidP="00736B39">
            <w:pPr>
              <w:pStyle w:val="Table-Body-centred"/>
            </w:pPr>
            <w:r w:rsidRPr="00FA5EBB">
              <w:t>Proline 275</w:t>
            </w:r>
          </w:p>
        </w:tc>
        <w:tc>
          <w:tcPr>
            <w:tcW w:w="3377" w:type="dxa"/>
          </w:tcPr>
          <w:p w14:paraId="095E769D" w14:textId="1968507E" w:rsidR="00736B39" w:rsidRPr="00F81998" w:rsidRDefault="00736B39" w:rsidP="00736B39">
            <w:pPr>
              <w:pStyle w:val="Table-Body-leftaligned"/>
              <w:keepLines/>
              <w:snapToGrid w:val="0"/>
            </w:pPr>
            <w:r>
              <w:rPr>
                <w:rFonts w:cs="Arial"/>
              </w:rPr>
              <w:t xml:space="preserve">275g/l </w:t>
            </w:r>
            <w:proofErr w:type="spellStart"/>
            <w:r>
              <w:rPr>
                <w:rFonts w:cs="Arial"/>
              </w:rPr>
              <w:t>P</w:t>
            </w:r>
            <w:r w:rsidRPr="00BD5A3A">
              <w:rPr>
                <w:rFonts w:cs="Arial"/>
              </w:rPr>
              <w:t>rothioconazole</w:t>
            </w:r>
            <w:proofErr w:type="spellEnd"/>
            <w:r>
              <w:rPr>
                <w:rFonts w:cs="Arial"/>
              </w:rPr>
              <w:t xml:space="preserve"> (DMI Group 3)</w:t>
            </w:r>
          </w:p>
        </w:tc>
        <w:tc>
          <w:tcPr>
            <w:tcW w:w="2693" w:type="dxa"/>
          </w:tcPr>
          <w:p w14:paraId="608423BF" w14:textId="5B7DE21A" w:rsidR="00736B39" w:rsidRPr="00FA5EBB" w:rsidRDefault="00736B39" w:rsidP="003D4FE9">
            <w:pPr>
              <w:pStyle w:val="Table-Body-leftaligned"/>
              <w:keepLines/>
              <w:snapToGrid w:val="0"/>
              <w:rPr>
                <w:rFonts w:cs="Arial"/>
              </w:rPr>
            </w:pPr>
            <w:r w:rsidRPr="00CD2B26">
              <w:rPr>
                <w:rFonts w:cs="Arial"/>
              </w:rPr>
              <w:t>0.63 l/ha max individual dose.</w:t>
            </w:r>
            <w:r>
              <w:rPr>
                <w:rFonts w:cs="Arial"/>
              </w:rPr>
              <w:t xml:space="preserve"> </w:t>
            </w:r>
            <w:r w:rsidRPr="00CD2B26">
              <w:rPr>
                <w:rFonts w:cs="Arial"/>
              </w:rPr>
              <w:t>1.26 l/ha max total dose per crop.</w:t>
            </w:r>
          </w:p>
        </w:tc>
        <w:tc>
          <w:tcPr>
            <w:tcW w:w="2410" w:type="dxa"/>
          </w:tcPr>
          <w:p w14:paraId="7BE8D758" w14:textId="50D78196" w:rsidR="00736B39" w:rsidRPr="00F81998" w:rsidRDefault="00736B39" w:rsidP="003D4FE9">
            <w:pPr>
              <w:pStyle w:val="Table-Body-leftaligned"/>
              <w:keepLines/>
              <w:snapToGrid w:val="0"/>
            </w:pPr>
            <w:r w:rsidRPr="00BD5A3A">
              <w:rPr>
                <w:rFonts w:cs="Arial"/>
              </w:rPr>
              <w:t>Bayer</w:t>
            </w:r>
            <w:r>
              <w:rPr>
                <w:rFonts w:cs="Arial"/>
              </w:rPr>
              <w:t xml:space="preserve"> CropScience</w:t>
            </w:r>
          </w:p>
        </w:tc>
      </w:tr>
      <w:tr w:rsidR="00736B39" w:rsidRPr="002818FB" w14:paraId="6AA32C42" w14:textId="77777777" w:rsidTr="00736B39">
        <w:trPr>
          <w:jc w:val="center"/>
        </w:trPr>
        <w:tc>
          <w:tcPr>
            <w:tcW w:w="1438" w:type="dxa"/>
          </w:tcPr>
          <w:p w14:paraId="3E3B469E" w14:textId="10E5D971" w:rsidR="00736B39" w:rsidRPr="00BD5A3A" w:rsidRDefault="00736B39" w:rsidP="00736B39">
            <w:pPr>
              <w:pStyle w:val="Table-Body-centred"/>
            </w:pPr>
            <w:r>
              <w:t xml:space="preserve">Aviator 235 </w:t>
            </w:r>
            <w:proofErr w:type="spellStart"/>
            <w:r>
              <w:t>Xpro</w:t>
            </w:r>
            <w:proofErr w:type="spellEnd"/>
          </w:p>
        </w:tc>
        <w:tc>
          <w:tcPr>
            <w:tcW w:w="3377" w:type="dxa"/>
          </w:tcPr>
          <w:p w14:paraId="5D5136B6" w14:textId="423EC62F" w:rsidR="00736B39" w:rsidRDefault="00736B39" w:rsidP="00736B39">
            <w:pPr>
              <w:pStyle w:val="Table-Body-leftaligned"/>
              <w:keepLines/>
              <w:snapToGrid w:val="0"/>
              <w:rPr>
                <w:rFonts w:cs="Arial"/>
              </w:rPr>
            </w:pPr>
            <w:r>
              <w:rPr>
                <w:rFonts w:cs="Arial"/>
              </w:rPr>
              <w:t xml:space="preserve">60g/l Bixafen (SDHI Group 7), </w:t>
            </w:r>
          </w:p>
          <w:p w14:paraId="7470D021" w14:textId="477136D4" w:rsidR="00736B39" w:rsidRPr="00736B39" w:rsidRDefault="00736B39" w:rsidP="00736B39">
            <w:pPr>
              <w:pStyle w:val="Table-Body-leftaligned"/>
              <w:keepLines/>
              <w:snapToGrid w:val="0"/>
              <w:rPr>
                <w:rFonts w:cs="Arial"/>
              </w:rPr>
            </w:pPr>
            <w:r>
              <w:rPr>
                <w:rFonts w:cs="Arial"/>
              </w:rPr>
              <w:t xml:space="preserve">200g/l </w:t>
            </w:r>
            <w:proofErr w:type="spellStart"/>
            <w:r>
              <w:rPr>
                <w:rFonts w:cs="Arial"/>
              </w:rPr>
              <w:t>Prothioconazole</w:t>
            </w:r>
            <w:proofErr w:type="spellEnd"/>
            <w:r>
              <w:rPr>
                <w:rFonts w:cs="Arial"/>
              </w:rPr>
              <w:t xml:space="preserve"> (DMI Group 3)</w:t>
            </w:r>
          </w:p>
        </w:tc>
        <w:tc>
          <w:tcPr>
            <w:tcW w:w="2693" w:type="dxa"/>
          </w:tcPr>
          <w:p w14:paraId="16C0CF91" w14:textId="0757D398" w:rsidR="00736B39" w:rsidRPr="00FA5EBB" w:rsidRDefault="00736B39" w:rsidP="003D4FE9">
            <w:pPr>
              <w:pStyle w:val="Table-Body-leftaligned"/>
              <w:keepLines/>
              <w:snapToGrid w:val="0"/>
              <w:rPr>
                <w:rFonts w:cs="Arial"/>
              </w:rPr>
            </w:pPr>
            <w:r w:rsidRPr="00CD2B26">
              <w:rPr>
                <w:rFonts w:cs="Arial"/>
              </w:rPr>
              <w:t>1.0l/ha max individual dose.</w:t>
            </w:r>
            <w:r>
              <w:rPr>
                <w:rFonts w:cs="Arial"/>
              </w:rPr>
              <w:t xml:space="preserve"> Max 2 treatments per crop.</w:t>
            </w:r>
          </w:p>
        </w:tc>
        <w:tc>
          <w:tcPr>
            <w:tcW w:w="2410" w:type="dxa"/>
          </w:tcPr>
          <w:p w14:paraId="010CFF1A" w14:textId="76933167" w:rsidR="00736B39" w:rsidRPr="00F81998" w:rsidRDefault="00736B39" w:rsidP="003D4FE9">
            <w:pPr>
              <w:pStyle w:val="Table-Body-leftaligned"/>
              <w:keepLines/>
              <w:snapToGrid w:val="0"/>
            </w:pPr>
            <w:r>
              <w:rPr>
                <w:rFonts w:cs="Arial"/>
              </w:rPr>
              <w:t>Bayer CropScience</w:t>
            </w:r>
          </w:p>
        </w:tc>
      </w:tr>
    </w:tbl>
    <w:p w14:paraId="6F589AA5" w14:textId="77777777" w:rsidR="00CF4D0E" w:rsidRDefault="00CF4D0E" w:rsidP="00CD2B26">
      <w:pPr>
        <w:tabs>
          <w:tab w:val="left" w:pos="3315"/>
        </w:tabs>
      </w:pPr>
    </w:p>
    <w:p w14:paraId="4AFF77B5" w14:textId="77777777" w:rsidR="00CF4D0E" w:rsidRDefault="00CF4D0E" w:rsidP="00CD2B26">
      <w:pPr>
        <w:tabs>
          <w:tab w:val="left" w:pos="3315"/>
        </w:tabs>
      </w:pPr>
    </w:p>
    <w:p w14:paraId="310DFA5D" w14:textId="77777777" w:rsidR="00CF4D0E" w:rsidRDefault="00CF4D0E" w:rsidP="00CD2B26">
      <w:pPr>
        <w:tabs>
          <w:tab w:val="left" w:pos="3315"/>
        </w:tabs>
      </w:pPr>
    </w:p>
    <w:p w14:paraId="4544A8B5" w14:textId="77777777" w:rsidR="00CF4D0E" w:rsidRDefault="00CF4D0E" w:rsidP="00CD2B26">
      <w:pPr>
        <w:tabs>
          <w:tab w:val="left" w:pos="3315"/>
        </w:tabs>
      </w:pPr>
    </w:p>
    <w:p w14:paraId="689AAA5D" w14:textId="77777777" w:rsidR="00522FD8" w:rsidRDefault="00522FD8" w:rsidP="00CD2B26">
      <w:pPr>
        <w:tabs>
          <w:tab w:val="left" w:pos="3315"/>
        </w:tabs>
      </w:pPr>
    </w:p>
    <w:p w14:paraId="73C0DE07" w14:textId="77777777" w:rsidR="00FA5EBB" w:rsidRDefault="00FA5EBB" w:rsidP="00CD2B26">
      <w:pPr>
        <w:tabs>
          <w:tab w:val="left" w:pos="3315"/>
        </w:tabs>
      </w:pPr>
    </w:p>
    <w:p w14:paraId="63498392" w14:textId="77777777" w:rsidR="00C55790" w:rsidRPr="00C55790" w:rsidRDefault="00C55790" w:rsidP="00F90E21">
      <w:pPr>
        <w:pStyle w:val="Heading3"/>
      </w:pPr>
      <w:r w:rsidRPr="00C55790">
        <w:lastRenderedPageBreak/>
        <w:t>Winter Oilseed Rape – Spring 2026</w:t>
      </w:r>
    </w:p>
    <w:p w14:paraId="335D4EAA" w14:textId="22D708F1" w:rsidR="00C55790" w:rsidRPr="00C55790" w:rsidRDefault="00C55790" w:rsidP="00C55790">
      <w:pPr>
        <w:rPr>
          <w:b/>
          <w:bCs/>
        </w:rPr>
      </w:pPr>
      <w:r w:rsidRPr="000F34D6">
        <w:rPr>
          <w:b/>
          <w:bCs/>
        </w:rPr>
        <w:t xml:space="preserve">Table </w:t>
      </w:r>
      <w:r>
        <w:rPr>
          <w:b/>
          <w:bCs/>
        </w:rPr>
        <w:t>3</w:t>
      </w:r>
      <w:r w:rsidRPr="000F34D6">
        <w:rPr>
          <w:b/>
          <w:bCs/>
        </w:rPr>
        <w:t xml:space="preserve">. Table </w:t>
      </w:r>
      <w:r>
        <w:rPr>
          <w:b/>
          <w:bCs/>
        </w:rPr>
        <w:t xml:space="preserve">summarising fungicide protocol </w:t>
      </w:r>
      <w:r w:rsidR="002B0C00">
        <w:rPr>
          <w:b/>
          <w:bCs/>
        </w:rPr>
        <w:t xml:space="preserve">for North and East/West regions </w:t>
      </w:r>
      <w:r>
        <w:rPr>
          <w:b/>
          <w:bCs/>
        </w:rPr>
        <w:t>at the onset of spring growth prior to stem extension</w:t>
      </w:r>
      <w:r w:rsidR="00D01E29">
        <w:rPr>
          <w:b/>
          <w:bCs/>
        </w:rPr>
        <w:t>,</w:t>
      </w:r>
      <w:r w:rsidR="007E7B04">
        <w:rPr>
          <w:b/>
          <w:bCs/>
        </w:rPr>
        <w:t xml:space="preserve">. </w:t>
      </w:r>
    </w:p>
    <w:tbl>
      <w:tblPr>
        <w:tblStyle w:val="TableGrid1"/>
        <w:tblW w:w="9968" w:type="dxa"/>
        <w:jc w:val="center"/>
        <w:tblLook w:val="04A0" w:firstRow="1" w:lastRow="0" w:firstColumn="1" w:lastColumn="0" w:noHBand="0" w:noVBand="1"/>
      </w:tblPr>
      <w:tblGrid>
        <w:gridCol w:w="1779"/>
        <w:gridCol w:w="1952"/>
        <w:gridCol w:w="2200"/>
        <w:gridCol w:w="2079"/>
        <w:gridCol w:w="1958"/>
      </w:tblGrid>
      <w:tr w:rsidR="0092727B" w:rsidRPr="00462A2F" w14:paraId="72E6A8AC" w14:textId="04CA1E8C" w:rsidTr="0058372E">
        <w:trPr>
          <w:jc w:val="center"/>
        </w:trPr>
        <w:tc>
          <w:tcPr>
            <w:tcW w:w="1779" w:type="dxa"/>
            <w:shd w:val="clear" w:color="auto" w:fill="E9F4FC"/>
          </w:tcPr>
          <w:p w14:paraId="126516CF" w14:textId="66ED2A26" w:rsidR="0092727B" w:rsidRPr="00FF16F4" w:rsidRDefault="0092727B">
            <w:pPr>
              <w:pStyle w:val="Tableheading"/>
              <w:rPr>
                <w:b w:val="0"/>
              </w:rPr>
            </w:pPr>
            <w:r w:rsidRPr="0092727B">
              <w:t>Treatment timing</w:t>
            </w:r>
            <w:r>
              <w:rPr>
                <w:b w:val="0"/>
              </w:rPr>
              <w:t xml:space="preserve"> </w:t>
            </w:r>
          </w:p>
        </w:tc>
        <w:tc>
          <w:tcPr>
            <w:tcW w:w="1952" w:type="dxa"/>
            <w:shd w:val="clear" w:color="auto" w:fill="E9F4FC"/>
          </w:tcPr>
          <w:p w14:paraId="5C5EDE9C" w14:textId="7589BF58" w:rsidR="0092727B" w:rsidRDefault="0092727B">
            <w:pPr>
              <w:pStyle w:val="Tableheading"/>
            </w:pPr>
            <w:r>
              <w:t>Target disease</w:t>
            </w:r>
          </w:p>
        </w:tc>
        <w:tc>
          <w:tcPr>
            <w:tcW w:w="2200" w:type="dxa"/>
            <w:shd w:val="clear" w:color="auto" w:fill="E9F4FC"/>
          </w:tcPr>
          <w:p w14:paraId="2A2B2A55" w14:textId="117BFB28" w:rsidR="0092727B" w:rsidRPr="00FF16F4" w:rsidRDefault="0092727B">
            <w:pPr>
              <w:pStyle w:val="Tableheading"/>
            </w:pPr>
            <w:r>
              <w:t>Product / active ingredient</w:t>
            </w:r>
          </w:p>
        </w:tc>
        <w:tc>
          <w:tcPr>
            <w:tcW w:w="2079" w:type="dxa"/>
            <w:shd w:val="clear" w:color="auto" w:fill="E9F4FC"/>
          </w:tcPr>
          <w:p w14:paraId="4B28AFA2" w14:textId="5B147D9B" w:rsidR="0092727B" w:rsidRPr="00FF16F4" w:rsidRDefault="0092727B">
            <w:pPr>
              <w:pStyle w:val="Tableheading"/>
              <w:rPr>
                <w:b w:val="0"/>
              </w:rPr>
            </w:pPr>
            <w:r>
              <w:t>Rate</w:t>
            </w:r>
          </w:p>
        </w:tc>
        <w:tc>
          <w:tcPr>
            <w:tcW w:w="1958" w:type="dxa"/>
            <w:shd w:val="clear" w:color="auto" w:fill="E9F4FC"/>
          </w:tcPr>
          <w:p w14:paraId="590292FC" w14:textId="1CD2B9D9" w:rsidR="0092727B" w:rsidRDefault="0092727B">
            <w:pPr>
              <w:pStyle w:val="Tableheading"/>
            </w:pPr>
            <w:r>
              <w:t>Notes</w:t>
            </w:r>
          </w:p>
        </w:tc>
      </w:tr>
      <w:tr w:rsidR="0092727B" w:rsidRPr="002818FB" w14:paraId="4783F7DA" w14:textId="52CDBB3E" w:rsidTr="0092727B">
        <w:trPr>
          <w:jc w:val="center"/>
        </w:trPr>
        <w:tc>
          <w:tcPr>
            <w:tcW w:w="1779" w:type="dxa"/>
          </w:tcPr>
          <w:p w14:paraId="134181FF" w14:textId="7BCB4248" w:rsidR="0092727B" w:rsidRPr="00D01E29" w:rsidRDefault="0092727B">
            <w:pPr>
              <w:pStyle w:val="Table-Body-leftaligned"/>
              <w:keepLines/>
              <w:snapToGrid w:val="0"/>
              <w:jc w:val="center"/>
              <w:rPr>
                <w:b/>
                <w:bCs/>
              </w:rPr>
            </w:pPr>
            <w:r w:rsidRPr="00D01E29">
              <w:rPr>
                <w:b/>
                <w:bCs/>
              </w:rPr>
              <w:t>Onset of spring growth prior to stem extension</w:t>
            </w:r>
          </w:p>
        </w:tc>
        <w:tc>
          <w:tcPr>
            <w:tcW w:w="1952" w:type="dxa"/>
          </w:tcPr>
          <w:p w14:paraId="0A2274F2" w14:textId="39206D18" w:rsidR="0092727B" w:rsidRPr="00D01E29" w:rsidRDefault="0092727B" w:rsidP="0092727B">
            <w:pPr>
              <w:pStyle w:val="Table-Body-leftaligned"/>
              <w:keepLines/>
              <w:snapToGrid w:val="0"/>
              <w:jc w:val="center"/>
              <w:rPr>
                <w:b/>
                <w:bCs/>
              </w:rPr>
            </w:pPr>
            <w:r w:rsidRPr="00D01E29">
              <w:rPr>
                <w:b/>
                <w:bCs/>
              </w:rPr>
              <w:t>Foliar diseases</w:t>
            </w:r>
          </w:p>
        </w:tc>
        <w:tc>
          <w:tcPr>
            <w:tcW w:w="2200" w:type="dxa"/>
          </w:tcPr>
          <w:p w14:paraId="0FDFF98B" w14:textId="3E8EDF8A" w:rsidR="0092727B" w:rsidRPr="00D01E29" w:rsidRDefault="0092727B">
            <w:pPr>
              <w:pStyle w:val="Table-Body-leftaligned"/>
              <w:keepLines/>
              <w:snapToGrid w:val="0"/>
              <w:rPr>
                <w:b/>
                <w:bCs/>
              </w:rPr>
            </w:pPr>
            <w:r w:rsidRPr="00D01E29">
              <w:rPr>
                <w:b/>
                <w:bCs/>
              </w:rPr>
              <w:t>Proline 275</w:t>
            </w:r>
          </w:p>
        </w:tc>
        <w:tc>
          <w:tcPr>
            <w:tcW w:w="2079" w:type="dxa"/>
          </w:tcPr>
          <w:p w14:paraId="5324D81F" w14:textId="41AEC0C3" w:rsidR="0092727B" w:rsidRPr="00D01E29" w:rsidRDefault="0092727B">
            <w:pPr>
              <w:pStyle w:val="Table-Body-leftaligned"/>
              <w:keepLines/>
              <w:snapToGrid w:val="0"/>
              <w:rPr>
                <w:b/>
                <w:bCs/>
              </w:rPr>
            </w:pPr>
            <w:r w:rsidRPr="00D01E29">
              <w:rPr>
                <w:b/>
                <w:bCs/>
              </w:rPr>
              <w:t>0.63 l/ha</w:t>
            </w:r>
          </w:p>
        </w:tc>
        <w:tc>
          <w:tcPr>
            <w:tcW w:w="1958" w:type="dxa"/>
          </w:tcPr>
          <w:p w14:paraId="3995105E" w14:textId="46B03BCB" w:rsidR="0092727B" w:rsidRPr="00D01E29" w:rsidRDefault="008C28F8">
            <w:pPr>
              <w:pStyle w:val="Table-Body-leftaligned"/>
              <w:keepLines/>
              <w:snapToGrid w:val="0"/>
              <w:rPr>
                <w:b/>
                <w:bCs/>
              </w:rPr>
            </w:pPr>
            <w:r>
              <w:rPr>
                <w:b/>
                <w:bCs/>
              </w:rPr>
              <w:t xml:space="preserve">Compulsory. </w:t>
            </w:r>
            <w:r w:rsidR="0092727B" w:rsidRPr="00D01E29">
              <w:rPr>
                <w:b/>
                <w:bCs/>
              </w:rPr>
              <w:t>Applies to North and East/West regions</w:t>
            </w:r>
          </w:p>
        </w:tc>
      </w:tr>
    </w:tbl>
    <w:p w14:paraId="3BED8897" w14:textId="77777777" w:rsidR="00CD2B26" w:rsidRDefault="00CD2B26" w:rsidP="00CD2B26">
      <w:pPr>
        <w:tabs>
          <w:tab w:val="left" w:pos="3315"/>
        </w:tabs>
      </w:pPr>
    </w:p>
    <w:p w14:paraId="6081A686" w14:textId="16637507" w:rsidR="0092727B" w:rsidRPr="00C55790" w:rsidRDefault="0092727B" w:rsidP="0092727B">
      <w:pPr>
        <w:rPr>
          <w:b/>
          <w:bCs/>
        </w:rPr>
      </w:pPr>
      <w:r w:rsidRPr="000F34D6">
        <w:rPr>
          <w:b/>
          <w:bCs/>
        </w:rPr>
        <w:t xml:space="preserve">Table </w:t>
      </w:r>
      <w:r>
        <w:rPr>
          <w:b/>
          <w:bCs/>
        </w:rPr>
        <w:t>4</w:t>
      </w:r>
      <w:r w:rsidRPr="000F34D6">
        <w:rPr>
          <w:b/>
          <w:bCs/>
        </w:rPr>
        <w:t xml:space="preserve">. Table </w:t>
      </w:r>
      <w:r>
        <w:rPr>
          <w:b/>
          <w:bCs/>
        </w:rPr>
        <w:t>summarising fungicide protocol</w:t>
      </w:r>
      <w:r w:rsidR="002B0C00">
        <w:rPr>
          <w:b/>
          <w:bCs/>
        </w:rPr>
        <w:t xml:space="preserve"> for North and East/West regions</w:t>
      </w:r>
      <w:r>
        <w:rPr>
          <w:b/>
          <w:bCs/>
        </w:rPr>
        <w:t xml:space="preserve"> at GS4.0-4.3 (first flowers opened)</w:t>
      </w:r>
      <w:r w:rsidR="007E7B04">
        <w:rPr>
          <w:b/>
          <w:bCs/>
        </w:rPr>
        <w:t>.</w:t>
      </w:r>
    </w:p>
    <w:tbl>
      <w:tblPr>
        <w:tblStyle w:val="TableGrid1"/>
        <w:tblW w:w="9968" w:type="dxa"/>
        <w:jc w:val="center"/>
        <w:tblLook w:val="04A0" w:firstRow="1" w:lastRow="0" w:firstColumn="1" w:lastColumn="0" w:noHBand="0" w:noVBand="1"/>
      </w:tblPr>
      <w:tblGrid>
        <w:gridCol w:w="1779"/>
        <w:gridCol w:w="1952"/>
        <w:gridCol w:w="2200"/>
        <w:gridCol w:w="2079"/>
        <w:gridCol w:w="1958"/>
      </w:tblGrid>
      <w:tr w:rsidR="0092727B" w:rsidRPr="00462A2F" w14:paraId="1E0E8E92" w14:textId="77777777" w:rsidTr="0058372E">
        <w:trPr>
          <w:jc w:val="center"/>
        </w:trPr>
        <w:tc>
          <w:tcPr>
            <w:tcW w:w="1779" w:type="dxa"/>
            <w:shd w:val="clear" w:color="auto" w:fill="E9F4FC"/>
          </w:tcPr>
          <w:p w14:paraId="4C36BE30" w14:textId="77777777" w:rsidR="0092727B" w:rsidRPr="00FF16F4" w:rsidRDefault="0092727B">
            <w:pPr>
              <w:pStyle w:val="Tableheading"/>
              <w:rPr>
                <w:b w:val="0"/>
              </w:rPr>
            </w:pPr>
            <w:r w:rsidRPr="0092727B">
              <w:t>Treatment timing</w:t>
            </w:r>
            <w:r>
              <w:rPr>
                <w:b w:val="0"/>
              </w:rPr>
              <w:t xml:space="preserve"> </w:t>
            </w:r>
          </w:p>
        </w:tc>
        <w:tc>
          <w:tcPr>
            <w:tcW w:w="1952" w:type="dxa"/>
            <w:shd w:val="clear" w:color="auto" w:fill="E9F4FC"/>
          </w:tcPr>
          <w:p w14:paraId="6B2B279A" w14:textId="77777777" w:rsidR="0092727B" w:rsidRDefault="0092727B">
            <w:pPr>
              <w:pStyle w:val="Tableheading"/>
            </w:pPr>
            <w:r>
              <w:t>Target disease</w:t>
            </w:r>
          </w:p>
        </w:tc>
        <w:tc>
          <w:tcPr>
            <w:tcW w:w="2200" w:type="dxa"/>
            <w:shd w:val="clear" w:color="auto" w:fill="E9F4FC"/>
          </w:tcPr>
          <w:p w14:paraId="719B3BEC" w14:textId="77777777" w:rsidR="0092727B" w:rsidRPr="00FF16F4" w:rsidRDefault="0092727B">
            <w:pPr>
              <w:pStyle w:val="Tableheading"/>
            </w:pPr>
            <w:r>
              <w:t>Product / active ingredient</w:t>
            </w:r>
          </w:p>
        </w:tc>
        <w:tc>
          <w:tcPr>
            <w:tcW w:w="2079" w:type="dxa"/>
            <w:shd w:val="clear" w:color="auto" w:fill="E9F4FC"/>
          </w:tcPr>
          <w:p w14:paraId="6B56CC09" w14:textId="77777777" w:rsidR="0092727B" w:rsidRPr="00FF16F4" w:rsidRDefault="0092727B">
            <w:pPr>
              <w:pStyle w:val="Tableheading"/>
              <w:rPr>
                <w:b w:val="0"/>
              </w:rPr>
            </w:pPr>
            <w:r>
              <w:t>Rate</w:t>
            </w:r>
          </w:p>
        </w:tc>
        <w:tc>
          <w:tcPr>
            <w:tcW w:w="1958" w:type="dxa"/>
            <w:shd w:val="clear" w:color="auto" w:fill="E9F4FC"/>
          </w:tcPr>
          <w:p w14:paraId="7BDE667C" w14:textId="77777777" w:rsidR="0092727B" w:rsidRDefault="0092727B">
            <w:pPr>
              <w:pStyle w:val="Tableheading"/>
            </w:pPr>
            <w:r>
              <w:t>Notes</w:t>
            </w:r>
          </w:p>
        </w:tc>
      </w:tr>
      <w:tr w:rsidR="0092727B" w:rsidRPr="002818FB" w14:paraId="662C11D8" w14:textId="77777777">
        <w:trPr>
          <w:jc w:val="center"/>
        </w:trPr>
        <w:tc>
          <w:tcPr>
            <w:tcW w:w="1779" w:type="dxa"/>
          </w:tcPr>
          <w:p w14:paraId="6023CBF4" w14:textId="77777777" w:rsidR="00FA5EBB" w:rsidRDefault="0092727B" w:rsidP="0092727B">
            <w:pPr>
              <w:pStyle w:val="Table-Body-leftaligned"/>
              <w:keepLines/>
              <w:snapToGrid w:val="0"/>
              <w:jc w:val="center"/>
              <w:rPr>
                <w:b/>
                <w:bCs/>
              </w:rPr>
            </w:pPr>
            <w:r w:rsidRPr="00D01E29">
              <w:rPr>
                <w:b/>
                <w:bCs/>
              </w:rPr>
              <w:t xml:space="preserve">GS4.0-4.3 </w:t>
            </w:r>
          </w:p>
          <w:p w14:paraId="2F8043B1" w14:textId="097ECA4E" w:rsidR="0092727B" w:rsidRPr="00D01E29" w:rsidRDefault="0092727B" w:rsidP="0092727B">
            <w:pPr>
              <w:pStyle w:val="Table-Body-leftaligned"/>
              <w:keepLines/>
              <w:snapToGrid w:val="0"/>
              <w:jc w:val="center"/>
              <w:rPr>
                <w:b/>
                <w:bCs/>
              </w:rPr>
            </w:pPr>
            <w:r w:rsidRPr="00D01E29">
              <w:rPr>
                <w:b/>
                <w:bCs/>
              </w:rPr>
              <w:t>(first flowers opened)</w:t>
            </w:r>
          </w:p>
        </w:tc>
        <w:tc>
          <w:tcPr>
            <w:tcW w:w="1952" w:type="dxa"/>
          </w:tcPr>
          <w:p w14:paraId="66B1B02B" w14:textId="0A1FAE23" w:rsidR="0092727B" w:rsidRPr="00D01E29" w:rsidRDefault="0092727B">
            <w:pPr>
              <w:pStyle w:val="Table-Body-leftaligned"/>
              <w:keepLines/>
              <w:snapToGrid w:val="0"/>
              <w:jc w:val="center"/>
              <w:rPr>
                <w:b/>
                <w:bCs/>
              </w:rPr>
            </w:pPr>
            <w:r w:rsidRPr="00D01E29">
              <w:rPr>
                <w:b/>
                <w:bCs/>
              </w:rPr>
              <w:t>Alternaria, Botrytis and Sclerotinia</w:t>
            </w:r>
          </w:p>
        </w:tc>
        <w:tc>
          <w:tcPr>
            <w:tcW w:w="2200" w:type="dxa"/>
          </w:tcPr>
          <w:p w14:paraId="49C05DC7" w14:textId="78148425" w:rsidR="0092727B" w:rsidRPr="00D01E29" w:rsidRDefault="0092727B">
            <w:pPr>
              <w:pStyle w:val="Table-Body-leftaligned"/>
              <w:keepLines/>
              <w:snapToGrid w:val="0"/>
              <w:rPr>
                <w:b/>
                <w:bCs/>
              </w:rPr>
            </w:pPr>
            <w:r w:rsidRPr="00D01E29">
              <w:rPr>
                <w:b/>
                <w:bCs/>
              </w:rPr>
              <w:t>Pictor</w:t>
            </w:r>
          </w:p>
        </w:tc>
        <w:tc>
          <w:tcPr>
            <w:tcW w:w="2079" w:type="dxa"/>
          </w:tcPr>
          <w:p w14:paraId="73DA744E" w14:textId="5D4F486C" w:rsidR="0092727B" w:rsidRPr="00D01E29" w:rsidRDefault="00D01E29">
            <w:pPr>
              <w:pStyle w:val="Table-Body-leftaligned"/>
              <w:keepLines/>
              <w:snapToGrid w:val="0"/>
              <w:rPr>
                <w:b/>
                <w:bCs/>
              </w:rPr>
            </w:pPr>
            <w:r w:rsidRPr="00D01E29">
              <w:rPr>
                <w:b/>
                <w:bCs/>
              </w:rPr>
              <w:t>0.375 – 0.5 l/ha</w:t>
            </w:r>
          </w:p>
        </w:tc>
        <w:tc>
          <w:tcPr>
            <w:tcW w:w="1958" w:type="dxa"/>
          </w:tcPr>
          <w:p w14:paraId="1EACCC73" w14:textId="4E53689A" w:rsidR="0092727B" w:rsidRPr="00D01E29" w:rsidRDefault="008C28F8">
            <w:pPr>
              <w:pStyle w:val="Table-Body-leftaligned"/>
              <w:keepLines/>
              <w:snapToGrid w:val="0"/>
              <w:rPr>
                <w:b/>
                <w:bCs/>
              </w:rPr>
            </w:pPr>
            <w:r>
              <w:rPr>
                <w:b/>
                <w:bCs/>
              </w:rPr>
              <w:t xml:space="preserve">Compulsory. </w:t>
            </w:r>
            <w:r w:rsidR="00D01E29" w:rsidRPr="00D01E29">
              <w:rPr>
                <w:b/>
                <w:bCs/>
              </w:rPr>
              <w:t>If there is a strong likelihood that soil or weather conditions will prohibit the application of the second Pictor spray, then apply full rate Pictor at this timing (maximum of 0.5 l/ha permitted).</w:t>
            </w:r>
          </w:p>
        </w:tc>
      </w:tr>
    </w:tbl>
    <w:p w14:paraId="1FC384AE" w14:textId="68DE3A92" w:rsidR="0092727B" w:rsidRDefault="0092727B" w:rsidP="0092727B">
      <w:pPr>
        <w:tabs>
          <w:tab w:val="left" w:pos="1395"/>
        </w:tabs>
      </w:pPr>
    </w:p>
    <w:p w14:paraId="16988030" w14:textId="0723932C" w:rsidR="00D01E29" w:rsidRPr="00D01E29" w:rsidRDefault="00D01E29" w:rsidP="00D01E29">
      <w:pPr>
        <w:rPr>
          <w:b/>
          <w:bCs/>
        </w:rPr>
      </w:pPr>
      <w:r w:rsidRPr="000F34D6">
        <w:rPr>
          <w:b/>
          <w:bCs/>
        </w:rPr>
        <w:t xml:space="preserve">Table </w:t>
      </w:r>
      <w:r>
        <w:rPr>
          <w:b/>
          <w:bCs/>
        </w:rPr>
        <w:t>5</w:t>
      </w:r>
      <w:r w:rsidRPr="000F34D6">
        <w:rPr>
          <w:b/>
          <w:bCs/>
        </w:rPr>
        <w:t xml:space="preserve">. Table </w:t>
      </w:r>
      <w:r>
        <w:rPr>
          <w:b/>
          <w:bCs/>
        </w:rPr>
        <w:t>summarising fungicide protocol</w:t>
      </w:r>
      <w:r w:rsidR="002B0C00">
        <w:rPr>
          <w:b/>
          <w:bCs/>
        </w:rPr>
        <w:t xml:space="preserve"> for North and East/West regions</w:t>
      </w:r>
      <w:r>
        <w:rPr>
          <w:b/>
          <w:bCs/>
        </w:rPr>
        <w:t xml:space="preserve"> at GS4.5-5.0 (</w:t>
      </w:r>
      <w:r w:rsidRPr="00D01E29">
        <w:rPr>
          <w:b/>
          <w:bCs/>
        </w:rPr>
        <w:t>up to 3 weeks later or just prior to 50% of pods at final size (GS 75 BBCH)</w:t>
      </w:r>
      <w:r>
        <w:rPr>
          <w:b/>
          <w:bCs/>
        </w:rPr>
        <w:t>)</w:t>
      </w:r>
      <w:r w:rsidR="007E7B04">
        <w:rPr>
          <w:b/>
          <w:bCs/>
        </w:rPr>
        <w:t xml:space="preserve">. </w:t>
      </w:r>
    </w:p>
    <w:tbl>
      <w:tblPr>
        <w:tblStyle w:val="TableGrid1"/>
        <w:tblW w:w="9968" w:type="dxa"/>
        <w:jc w:val="center"/>
        <w:tblLook w:val="04A0" w:firstRow="1" w:lastRow="0" w:firstColumn="1" w:lastColumn="0" w:noHBand="0" w:noVBand="1"/>
      </w:tblPr>
      <w:tblGrid>
        <w:gridCol w:w="1779"/>
        <w:gridCol w:w="1952"/>
        <w:gridCol w:w="2200"/>
        <w:gridCol w:w="2079"/>
        <w:gridCol w:w="1958"/>
      </w:tblGrid>
      <w:tr w:rsidR="00D01E29" w:rsidRPr="00462A2F" w14:paraId="55C4F10F" w14:textId="77777777" w:rsidTr="0058372E">
        <w:trPr>
          <w:jc w:val="center"/>
        </w:trPr>
        <w:tc>
          <w:tcPr>
            <w:tcW w:w="1779" w:type="dxa"/>
            <w:shd w:val="clear" w:color="auto" w:fill="E9F4FC"/>
          </w:tcPr>
          <w:p w14:paraId="737A6C1B" w14:textId="77777777" w:rsidR="00D01E29" w:rsidRPr="00FF16F4" w:rsidRDefault="00D01E29">
            <w:pPr>
              <w:pStyle w:val="Tableheading"/>
              <w:rPr>
                <w:b w:val="0"/>
              </w:rPr>
            </w:pPr>
            <w:r w:rsidRPr="0092727B">
              <w:t>Treatment timing</w:t>
            </w:r>
            <w:r>
              <w:rPr>
                <w:b w:val="0"/>
              </w:rPr>
              <w:t xml:space="preserve"> </w:t>
            </w:r>
          </w:p>
        </w:tc>
        <w:tc>
          <w:tcPr>
            <w:tcW w:w="1952" w:type="dxa"/>
            <w:shd w:val="clear" w:color="auto" w:fill="E9F4FC"/>
          </w:tcPr>
          <w:p w14:paraId="3A922A44" w14:textId="77777777" w:rsidR="00D01E29" w:rsidRDefault="00D01E29">
            <w:pPr>
              <w:pStyle w:val="Tableheading"/>
            </w:pPr>
            <w:r>
              <w:t>Target disease</w:t>
            </w:r>
          </w:p>
        </w:tc>
        <w:tc>
          <w:tcPr>
            <w:tcW w:w="2200" w:type="dxa"/>
            <w:shd w:val="clear" w:color="auto" w:fill="E9F4FC"/>
          </w:tcPr>
          <w:p w14:paraId="146C4042" w14:textId="77777777" w:rsidR="00D01E29" w:rsidRPr="00FF16F4" w:rsidRDefault="00D01E29">
            <w:pPr>
              <w:pStyle w:val="Tableheading"/>
            </w:pPr>
            <w:r>
              <w:t>Product / active ingredient</w:t>
            </w:r>
          </w:p>
        </w:tc>
        <w:tc>
          <w:tcPr>
            <w:tcW w:w="2079" w:type="dxa"/>
            <w:shd w:val="clear" w:color="auto" w:fill="E9F4FC"/>
          </w:tcPr>
          <w:p w14:paraId="17E9D761" w14:textId="77777777" w:rsidR="00D01E29" w:rsidRPr="00FF16F4" w:rsidRDefault="00D01E29">
            <w:pPr>
              <w:pStyle w:val="Tableheading"/>
              <w:rPr>
                <w:b w:val="0"/>
              </w:rPr>
            </w:pPr>
            <w:r>
              <w:t>Rate</w:t>
            </w:r>
          </w:p>
        </w:tc>
        <w:tc>
          <w:tcPr>
            <w:tcW w:w="1958" w:type="dxa"/>
            <w:shd w:val="clear" w:color="auto" w:fill="E9F4FC"/>
          </w:tcPr>
          <w:p w14:paraId="00F86EF2" w14:textId="77777777" w:rsidR="00D01E29" w:rsidRDefault="00D01E29">
            <w:pPr>
              <w:pStyle w:val="Tableheading"/>
            </w:pPr>
            <w:r>
              <w:t>Notes</w:t>
            </w:r>
          </w:p>
        </w:tc>
      </w:tr>
      <w:tr w:rsidR="00D01E29" w:rsidRPr="002818FB" w14:paraId="1A49463E" w14:textId="77777777">
        <w:trPr>
          <w:jc w:val="center"/>
        </w:trPr>
        <w:tc>
          <w:tcPr>
            <w:tcW w:w="1779" w:type="dxa"/>
          </w:tcPr>
          <w:p w14:paraId="7760F42F" w14:textId="77777777" w:rsidR="00D01E29" w:rsidRPr="00D01E29" w:rsidRDefault="00D01E29">
            <w:pPr>
              <w:pStyle w:val="Table-Body-leftaligned"/>
              <w:keepLines/>
              <w:snapToGrid w:val="0"/>
              <w:jc w:val="center"/>
              <w:rPr>
                <w:b/>
                <w:bCs/>
              </w:rPr>
            </w:pPr>
            <w:r w:rsidRPr="00D01E29">
              <w:rPr>
                <w:b/>
                <w:bCs/>
              </w:rPr>
              <w:t xml:space="preserve">GS 4.5–5.0 </w:t>
            </w:r>
          </w:p>
          <w:p w14:paraId="7F60C0A9" w14:textId="16C0A404" w:rsidR="00D01E29" w:rsidRPr="00D01E29" w:rsidRDefault="00D01E29">
            <w:pPr>
              <w:pStyle w:val="Table-Body-leftaligned"/>
              <w:keepLines/>
              <w:snapToGrid w:val="0"/>
              <w:jc w:val="center"/>
              <w:rPr>
                <w:b/>
                <w:bCs/>
              </w:rPr>
            </w:pPr>
            <w:r w:rsidRPr="00D01E29">
              <w:rPr>
                <w:b/>
                <w:bCs/>
              </w:rPr>
              <w:t>(up to 3 weeks later or just prior to 50% of pods at final size (GS 75 BBCH)</w:t>
            </w:r>
          </w:p>
        </w:tc>
        <w:tc>
          <w:tcPr>
            <w:tcW w:w="1952" w:type="dxa"/>
          </w:tcPr>
          <w:p w14:paraId="3DCC147F" w14:textId="73343FE5" w:rsidR="00D01E29" w:rsidRPr="00D01E29" w:rsidRDefault="00D01E29">
            <w:pPr>
              <w:pStyle w:val="Table-Body-leftaligned"/>
              <w:keepLines/>
              <w:snapToGrid w:val="0"/>
              <w:jc w:val="center"/>
              <w:rPr>
                <w:b/>
                <w:bCs/>
              </w:rPr>
            </w:pPr>
            <w:r w:rsidRPr="00D01E29">
              <w:rPr>
                <w:b/>
                <w:bCs/>
              </w:rPr>
              <w:t>Sclerotinia</w:t>
            </w:r>
          </w:p>
        </w:tc>
        <w:tc>
          <w:tcPr>
            <w:tcW w:w="2200" w:type="dxa"/>
          </w:tcPr>
          <w:p w14:paraId="593B24C7" w14:textId="3694F43B" w:rsidR="00D01E29" w:rsidRPr="00F81998" w:rsidRDefault="00D01E29">
            <w:pPr>
              <w:pStyle w:val="Table-Body-leftaligned"/>
              <w:keepLines/>
              <w:snapToGrid w:val="0"/>
            </w:pPr>
            <w:r w:rsidRPr="0019012D">
              <w:rPr>
                <w:rFonts w:cs="Arial"/>
                <w:b/>
                <w:bCs/>
              </w:rPr>
              <w:t>Pictor</w:t>
            </w:r>
          </w:p>
        </w:tc>
        <w:tc>
          <w:tcPr>
            <w:tcW w:w="2079" w:type="dxa"/>
          </w:tcPr>
          <w:p w14:paraId="4CFEBB90" w14:textId="38CF9828" w:rsidR="00D01E29" w:rsidRPr="00D01E29" w:rsidRDefault="00D01E29">
            <w:pPr>
              <w:pStyle w:val="Table-Body-leftaligned"/>
              <w:keepLines/>
              <w:snapToGrid w:val="0"/>
              <w:rPr>
                <w:b/>
                <w:bCs/>
              </w:rPr>
            </w:pPr>
            <w:r w:rsidRPr="00D01E29">
              <w:rPr>
                <w:b/>
                <w:bCs/>
              </w:rPr>
              <w:t>0.375 – 0.5 l/ha</w:t>
            </w:r>
          </w:p>
        </w:tc>
        <w:tc>
          <w:tcPr>
            <w:tcW w:w="1958" w:type="dxa"/>
          </w:tcPr>
          <w:p w14:paraId="636E51E9" w14:textId="6E4CB9F5" w:rsidR="00D01E29" w:rsidRPr="0092727B" w:rsidRDefault="008C28F8">
            <w:pPr>
              <w:pStyle w:val="Table-Body-leftaligned"/>
              <w:keepLines/>
              <w:snapToGrid w:val="0"/>
            </w:pPr>
            <w:r>
              <w:rPr>
                <w:rFonts w:cs="Arial"/>
                <w:b/>
                <w:bCs/>
              </w:rPr>
              <w:t xml:space="preserve">Compulsory. </w:t>
            </w:r>
            <w:r w:rsidR="00D01E29" w:rsidRPr="001913C3">
              <w:rPr>
                <w:rFonts w:cs="Arial"/>
                <w:b/>
                <w:bCs/>
              </w:rPr>
              <w:t>Please note that a fungicide application for Sclerotinia control should be applied to untreated trials especially where these trials are taken to yield.</w:t>
            </w:r>
          </w:p>
        </w:tc>
      </w:tr>
    </w:tbl>
    <w:p w14:paraId="38C67CDC" w14:textId="77777777" w:rsidR="0092727B" w:rsidRDefault="0092727B" w:rsidP="0092727B">
      <w:pPr>
        <w:tabs>
          <w:tab w:val="left" w:pos="1395"/>
        </w:tabs>
      </w:pPr>
    </w:p>
    <w:p w14:paraId="424F7C5C" w14:textId="77777777" w:rsidR="008C28F8" w:rsidRDefault="00A90CF5" w:rsidP="008C28F8">
      <w:pPr>
        <w:tabs>
          <w:tab w:val="left" w:pos="6165"/>
        </w:tabs>
      </w:pPr>
      <w:r>
        <w:tab/>
      </w:r>
    </w:p>
    <w:p w14:paraId="4080893E" w14:textId="7E62B780" w:rsidR="00A90CF5" w:rsidRDefault="00A90CF5" w:rsidP="008C28F8">
      <w:pPr>
        <w:pStyle w:val="Heading3"/>
      </w:pPr>
      <w:r w:rsidRPr="00A90CF5">
        <w:lastRenderedPageBreak/>
        <w:t>Autumn 2026 (for crop 26/27)</w:t>
      </w:r>
    </w:p>
    <w:p w14:paraId="3F73F387" w14:textId="758DECC6" w:rsidR="00A90CF5" w:rsidRDefault="00A90CF5" w:rsidP="00A90CF5">
      <w:pPr>
        <w:rPr>
          <w:b/>
          <w:bCs/>
        </w:rPr>
      </w:pPr>
      <w:r w:rsidRPr="000F34D6">
        <w:rPr>
          <w:b/>
          <w:bCs/>
        </w:rPr>
        <w:t xml:space="preserve">Table </w:t>
      </w:r>
      <w:r>
        <w:rPr>
          <w:b/>
          <w:bCs/>
        </w:rPr>
        <w:t>6</w:t>
      </w:r>
      <w:r w:rsidRPr="000F34D6">
        <w:rPr>
          <w:b/>
          <w:bCs/>
        </w:rPr>
        <w:t xml:space="preserve">. Table </w:t>
      </w:r>
      <w:r>
        <w:rPr>
          <w:b/>
          <w:bCs/>
        </w:rPr>
        <w:t xml:space="preserve">summarising fungicide protocol </w:t>
      </w:r>
      <w:r w:rsidR="007E7B04">
        <w:rPr>
          <w:b/>
          <w:bCs/>
        </w:rPr>
        <w:t>for</w:t>
      </w:r>
      <w:r w:rsidR="002B0C00" w:rsidRPr="002B0C00">
        <w:rPr>
          <w:b/>
          <w:bCs/>
        </w:rPr>
        <w:t xml:space="preserve"> </w:t>
      </w:r>
      <w:r w:rsidR="002B0C00">
        <w:rPr>
          <w:b/>
          <w:bCs/>
        </w:rPr>
        <w:t>the Northern region,</w:t>
      </w:r>
      <w:r w:rsidR="007E7B04">
        <w:rPr>
          <w:b/>
          <w:bCs/>
        </w:rPr>
        <w:t xml:space="preserve"> Autumn 2026 (for crop 26/27) in. </w:t>
      </w:r>
    </w:p>
    <w:tbl>
      <w:tblPr>
        <w:tblStyle w:val="TableGrid1"/>
        <w:tblW w:w="9968" w:type="dxa"/>
        <w:jc w:val="center"/>
        <w:tblLook w:val="04A0" w:firstRow="1" w:lastRow="0" w:firstColumn="1" w:lastColumn="0" w:noHBand="0" w:noVBand="1"/>
      </w:tblPr>
      <w:tblGrid>
        <w:gridCol w:w="1779"/>
        <w:gridCol w:w="1952"/>
        <w:gridCol w:w="2200"/>
        <w:gridCol w:w="2079"/>
        <w:gridCol w:w="1958"/>
      </w:tblGrid>
      <w:tr w:rsidR="007E7B04" w:rsidRPr="00462A2F" w14:paraId="0445F7B4" w14:textId="77777777" w:rsidTr="0058372E">
        <w:trPr>
          <w:jc w:val="center"/>
        </w:trPr>
        <w:tc>
          <w:tcPr>
            <w:tcW w:w="1779" w:type="dxa"/>
            <w:shd w:val="clear" w:color="auto" w:fill="E9F4FC"/>
          </w:tcPr>
          <w:p w14:paraId="1988C33A" w14:textId="77777777" w:rsidR="007E7B04" w:rsidRPr="00FF16F4" w:rsidRDefault="007E7B04">
            <w:pPr>
              <w:pStyle w:val="Tableheading"/>
              <w:rPr>
                <w:b w:val="0"/>
              </w:rPr>
            </w:pPr>
            <w:r w:rsidRPr="0092727B">
              <w:t>Treatment timing</w:t>
            </w:r>
            <w:r>
              <w:rPr>
                <w:b w:val="0"/>
              </w:rPr>
              <w:t xml:space="preserve"> </w:t>
            </w:r>
          </w:p>
        </w:tc>
        <w:tc>
          <w:tcPr>
            <w:tcW w:w="1952" w:type="dxa"/>
            <w:shd w:val="clear" w:color="auto" w:fill="E9F4FC"/>
          </w:tcPr>
          <w:p w14:paraId="2EB64BBB" w14:textId="77777777" w:rsidR="007E7B04" w:rsidRDefault="007E7B04">
            <w:pPr>
              <w:pStyle w:val="Tableheading"/>
            </w:pPr>
            <w:r>
              <w:t>Target disease</w:t>
            </w:r>
          </w:p>
        </w:tc>
        <w:tc>
          <w:tcPr>
            <w:tcW w:w="2200" w:type="dxa"/>
            <w:shd w:val="clear" w:color="auto" w:fill="E9F4FC"/>
          </w:tcPr>
          <w:p w14:paraId="22841F99" w14:textId="77777777" w:rsidR="007E7B04" w:rsidRPr="00FF16F4" w:rsidRDefault="007E7B04">
            <w:pPr>
              <w:pStyle w:val="Tableheading"/>
            </w:pPr>
            <w:r>
              <w:t>Product / active ingredient</w:t>
            </w:r>
          </w:p>
        </w:tc>
        <w:tc>
          <w:tcPr>
            <w:tcW w:w="2079" w:type="dxa"/>
            <w:shd w:val="clear" w:color="auto" w:fill="E9F4FC"/>
          </w:tcPr>
          <w:p w14:paraId="41BD022E" w14:textId="77777777" w:rsidR="007E7B04" w:rsidRPr="00FF16F4" w:rsidRDefault="007E7B04">
            <w:pPr>
              <w:pStyle w:val="Tableheading"/>
              <w:rPr>
                <w:b w:val="0"/>
              </w:rPr>
            </w:pPr>
            <w:r>
              <w:t>Rate</w:t>
            </w:r>
          </w:p>
        </w:tc>
        <w:tc>
          <w:tcPr>
            <w:tcW w:w="1958" w:type="dxa"/>
            <w:shd w:val="clear" w:color="auto" w:fill="E9F4FC"/>
          </w:tcPr>
          <w:p w14:paraId="0B097123" w14:textId="77777777" w:rsidR="007E7B04" w:rsidRDefault="007E7B04">
            <w:pPr>
              <w:pStyle w:val="Tableheading"/>
            </w:pPr>
            <w:r>
              <w:t>Notes</w:t>
            </w:r>
          </w:p>
        </w:tc>
      </w:tr>
      <w:tr w:rsidR="007E7B04" w:rsidRPr="002818FB" w14:paraId="5B151901" w14:textId="77777777">
        <w:trPr>
          <w:jc w:val="center"/>
        </w:trPr>
        <w:tc>
          <w:tcPr>
            <w:tcW w:w="1779" w:type="dxa"/>
          </w:tcPr>
          <w:p w14:paraId="253EBA48" w14:textId="705A0741" w:rsidR="007E7B04" w:rsidRPr="007E7B04" w:rsidRDefault="007E7B04">
            <w:pPr>
              <w:pStyle w:val="Table-Body-leftaligned"/>
              <w:keepLines/>
              <w:snapToGrid w:val="0"/>
              <w:jc w:val="center"/>
              <w:rPr>
                <w:i/>
                <w:iCs/>
              </w:rPr>
            </w:pPr>
            <w:r w:rsidRPr="007E7B04">
              <w:rPr>
                <w:i/>
                <w:iCs/>
              </w:rPr>
              <w:t>Optional on appearance of first symptoms or, by end of November</w:t>
            </w:r>
          </w:p>
        </w:tc>
        <w:tc>
          <w:tcPr>
            <w:tcW w:w="1952" w:type="dxa"/>
          </w:tcPr>
          <w:p w14:paraId="727D2B47" w14:textId="6979B40E" w:rsidR="007E7B04" w:rsidRPr="00D01E29" w:rsidRDefault="007E7B04">
            <w:pPr>
              <w:pStyle w:val="Table-Body-leftaligned"/>
              <w:keepLines/>
              <w:snapToGrid w:val="0"/>
              <w:jc w:val="center"/>
              <w:rPr>
                <w:b/>
                <w:bCs/>
              </w:rPr>
            </w:pPr>
            <w:r w:rsidRPr="00BD5A3A">
              <w:rPr>
                <w:rFonts w:cs="Arial"/>
                <w:i/>
                <w:iCs/>
              </w:rPr>
              <w:t xml:space="preserve">Light leaf spot and </w:t>
            </w:r>
            <w:proofErr w:type="spellStart"/>
            <w:r w:rsidRPr="00BD5A3A">
              <w:rPr>
                <w:rFonts w:cs="Arial"/>
                <w:i/>
                <w:iCs/>
              </w:rPr>
              <w:t>Phoma</w:t>
            </w:r>
            <w:proofErr w:type="spellEnd"/>
          </w:p>
        </w:tc>
        <w:tc>
          <w:tcPr>
            <w:tcW w:w="2200" w:type="dxa"/>
          </w:tcPr>
          <w:p w14:paraId="725F4A20" w14:textId="4CABB518" w:rsidR="007E7B04" w:rsidRDefault="007E7B04">
            <w:pPr>
              <w:pStyle w:val="Table-Body-leftaligned"/>
              <w:keepLines/>
              <w:snapToGrid w:val="0"/>
            </w:pPr>
            <w:r w:rsidRPr="00D468A3">
              <w:rPr>
                <w:rFonts w:cs="Arial"/>
                <w:i/>
                <w:iCs/>
              </w:rPr>
              <w:t xml:space="preserve">Aviator </w:t>
            </w:r>
            <w:proofErr w:type="spellStart"/>
            <w:r w:rsidRPr="00D468A3">
              <w:rPr>
                <w:rFonts w:cs="Arial"/>
                <w:i/>
                <w:iCs/>
              </w:rPr>
              <w:t>Xpro</w:t>
            </w:r>
            <w:proofErr w:type="spellEnd"/>
          </w:p>
          <w:p w14:paraId="46F23BCD" w14:textId="16766F87" w:rsidR="007E7B04" w:rsidRPr="007E7B04" w:rsidRDefault="007E7B04" w:rsidP="007E7B04">
            <w:pPr>
              <w:jc w:val="center"/>
              <w:rPr>
                <w:lang w:eastAsia="ja-JP"/>
              </w:rPr>
            </w:pPr>
          </w:p>
        </w:tc>
        <w:tc>
          <w:tcPr>
            <w:tcW w:w="2079" w:type="dxa"/>
          </w:tcPr>
          <w:p w14:paraId="55ED0ECC" w14:textId="3404D4E7" w:rsidR="007E7B04" w:rsidRPr="00D01E29" w:rsidRDefault="007E7B04">
            <w:pPr>
              <w:pStyle w:val="Table-Body-leftaligned"/>
              <w:keepLines/>
              <w:snapToGrid w:val="0"/>
              <w:rPr>
                <w:b/>
                <w:bCs/>
              </w:rPr>
            </w:pPr>
            <w:r>
              <w:rPr>
                <w:rFonts w:cs="Arial"/>
                <w:i/>
                <w:iCs/>
              </w:rPr>
              <w:t>1.0 l/ha</w:t>
            </w:r>
          </w:p>
        </w:tc>
        <w:tc>
          <w:tcPr>
            <w:tcW w:w="1958" w:type="dxa"/>
          </w:tcPr>
          <w:p w14:paraId="335ABCC6" w14:textId="77777777" w:rsidR="008C28F8" w:rsidRDefault="008C28F8">
            <w:pPr>
              <w:pStyle w:val="Table-Body-leftaligned"/>
              <w:keepLines/>
              <w:snapToGrid w:val="0"/>
            </w:pPr>
            <w:r w:rsidRPr="008C28F8">
              <w:rPr>
                <w:i/>
                <w:iCs/>
              </w:rPr>
              <w:t>Optional.</w:t>
            </w:r>
            <w:r>
              <w:t xml:space="preserve"> </w:t>
            </w:r>
          </w:p>
          <w:p w14:paraId="025D9476" w14:textId="05629E2C" w:rsidR="007E7B04" w:rsidRPr="0092727B" w:rsidRDefault="007E7B04">
            <w:pPr>
              <w:pStyle w:val="Table-Body-leftaligned"/>
              <w:keepLines/>
              <w:snapToGrid w:val="0"/>
            </w:pPr>
            <w:r>
              <w:t>Northern region only</w:t>
            </w:r>
          </w:p>
        </w:tc>
      </w:tr>
    </w:tbl>
    <w:p w14:paraId="3B8516DC" w14:textId="77777777" w:rsidR="007E7B04" w:rsidRPr="00C55790" w:rsidRDefault="007E7B04" w:rsidP="00A90CF5">
      <w:pPr>
        <w:rPr>
          <w:b/>
          <w:bCs/>
        </w:rPr>
      </w:pPr>
    </w:p>
    <w:p w14:paraId="270C823B" w14:textId="5CC6EC57" w:rsidR="007E7B04" w:rsidRPr="00C55790" w:rsidRDefault="007E7B04" w:rsidP="007E7B04">
      <w:pPr>
        <w:rPr>
          <w:b/>
          <w:bCs/>
        </w:rPr>
      </w:pPr>
      <w:r w:rsidRPr="000F34D6">
        <w:rPr>
          <w:b/>
          <w:bCs/>
        </w:rPr>
        <w:t xml:space="preserve">Table </w:t>
      </w:r>
      <w:r>
        <w:rPr>
          <w:b/>
          <w:bCs/>
        </w:rPr>
        <w:t>7</w:t>
      </w:r>
      <w:r w:rsidRPr="000F34D6">
        <w:rPr>
          <w:b/>
          <w:bCs/>
        </w:rPr>
        <w:t xml:space="preserve">. Table </w:t>
      </w:r>
      <w:r>
        <w:rPr>
          <w:b/>
          <w:bCs/>
        </w:rPr>
        <w:t>summarising fungicide protocol</w:t>
      </w:r>
      <w:r w:rsidR="002B0C00">
        <w:rPr>
          <w:b/>
          <w:bCs/>
        </w:rPr>
        <w:t xml:space="preserve"> in the East/West region</w:t>
      </w:r>
      <w:r>
        <w:rPr>
          <w:b/>
          <w:bCs/>
        </w:rPr>
        <w:t xml:space="preserve"> for Autumn 2026 (for crop 26/27). </w:t>
      </w:r>
    </w:p>
    <w:tbl>
      <w:tblPr>
        <w:tblStyle w:val="TableGrid1"/>
        <w:tblW w:w="9968" w:type="dxa"/>
        <w:jc w:val="center"/>
        <w:tblLook w:val="04A0" w:firstRow="1" w:lastRow="0" w:firstColumn="1" w:lastColumn="0" w:noHBand="0" w:noVBand="1"/>
      </w:tblPr>
      <w:tblGrid>
        <w:gridCol w:w="1779"/>
        <w:gridCol w:w="1952"/>
        <w:gridCol w:w="2200"/>
        <w:gridCol w:w="2079"/>
        <w:gridCol w:w="1958"/>
      </w:tblGrid>
      <w:tr w:rsidR="007E7B04" w:rsidRPr="00462A2F" w14:paraId="3CA53B89" w14:textId="77777777" w:rsidTr="0058372E">
        <w:trPr>
          <w:jc w:val="center"/>
        </w:trPr>
        <w:tc>
          <w:tcPr>
            <w:tcW w:w="1779" w:type="dxa"/>
            <w:shd w:val="clear" w:color="auto" w:fill="E9F4FC"/>
          </w:tcPr>
          <w:p w14:paraId="73561C5D" w14:textId="77777777" w:rsidR="007E7B04" w:rsidRPr="00FF16F4" w:rsidRDefault="007E7B04">
            <w:pPr>
              <w:pStyle w:val="Tableheading"/>
              <w:rPr>
                <w:b w:val="0"/>
              </w:rPr>
            </w:pPr>
            <w:r w:rsidRPr="0092727B">
              <w:t>Treatment timing</w:t>
            </w:r>
            <w:r>
              <w:rPr>
                <w:b w:val="0"/>
              </w:rPr>
              <w:t xml:space="preserve"> </w:t>
            </w:r>
          </w:p>
        </w:tc>
        <w:tc>
          <w:tcPr>
            <w:tcW w:w="1952" w:type="dxa"/>
            <w:shd w:val="clear" w:color="auto" w:fill="E9F4FC"/>
          </w:tcPr>
          <w:p w14:paraId="498B117F" w14:textId="77777777" w:rsidR="007E7B04" w:rsidRDefault="007E7B04">
            <w:pPr>
              <w:pStyle w:val="Tableheading"/>
            </w:pPr>
            <w:r>
              <w:t>Target disease</w:t>
            </w:r>
          </w:p>
        </w:tc>
        <w:tc>
          <w:tcPr>
            <w:tcW w:w="2200" w:type="dxa"/>
            <w:shd w:val="clear" w:color="auto" w:fill="E9F4FC"/>
          </w:tcPr>
          <w:p w14:paraId="772B1CC2" w14:textId="77777777" w:rsidR="007E7B04" w:rsidRPr="00FF16F4" w:rsidRDefault="007E7B04">
            <w:pPr>
              <w:pStyle w:val="Tableheading"/>
            </w:pPr>
            <w:r>
              <w:t>Product / active ingredient</w:t>
            </w:r>
          </w:p>
        </w:tc>
        <w:tc>
          <w:tcPr>
            <w:tcW w:w="2079" w:type="dxa"/>
            <w:shd w:val="clear" w:color="auto" w:fill="E9F4FC"/>
          </w:tcPr>
          <w:p w14:paraId="4BFB46B2" w14:textId="77777777" w:rsidR="007E7B04" w:rsidRPr="00FF16F4" w:rsidRDefault="007E7B04">
            <w:pPr>
              <w:pStyle w:val="Tableheading"/>
              <w:rPr>
                <w:b w:val="0"/>
              </w:rPr>
            </w:pPr>
            <w:r>
              <w:t>Rate</w:t>
            </w:r>
          </w:p>
        </w:tc>
        <w:tc>
          <w:tcPr>
            <w:tcW w:w="1958" w:type="dxa"/>
            <w:shd w:val="clear" w:color="auto" w:fill="E9F4FC"/>
          </w:tcPr>
          <w:p w14:paraId="01D3FD33" w14:textId="77777777" w:rsidR="007E7B04" w:rsidRDefault="007E7B04">
            <w:pPr>
              <w:pStyle w:val="Tableheading"/>
            </w:pPr>
            <w:r>
              <w:t>Notes</w:t>
            </w:r>
          </w:p>
        </w:tc>
      </w:tr>
      <w:tr w:rsidR="007E7B04" w:rsidRPr="002818FB" w14:paraId="6737BE60" w14:textId="77777777">
        <w:trPr>
          <w:jc w:val="center"/>
        </w:trPr>
        <w:tc>
          <w:tcPr>
            <w:tcW w:w="1779" w:type="dxa"/>
          </w:tcPr>
          <w:p w14:paraId="17D6656E" w14:textId="77777777" w:rsidR="007E7B04" w:rsidRPr="0057147E" w:rsidRDefault="007E7B04" w:rsidP="00736B39">
            <w:pPr>
              <w:pStyle w:val="Table-Body-leftaligned"/>
              <w:keepLines/>
              <w:snapToGrid w:val="0"/>
              <w:rPr>
                <w:rFonts w:cs="Arial"/>
                <w:b/>
                <w:bCs/>
              </w:rPr>
            </w:pPr>
            <w:r w:rsidRPr="0057147E">
              <w:rPr>
                <w:rFonts w:cs="Arial"/>
                <w:b/>
                <w:bCs/>
              </w:rPr>
              <w:t>On appearance of first symptoms or, if no symptoms present by end of October (the 4-leaf stage).</w:t>
            </w:r>
          </w:p>
          <w:p w14:paraId="29E9BE7B" w14:textId="16FDDF51" w:rsidR="007E7B04" w:rsidRPr="007E7B04" w:rsidRDefault="007E7B04" w:rsidP="00736B39">
            <w:pPr>
              <w:pStyle w:val="Table-Body-leftaligned"/>
              <w:keepLines/>
              <w:snapToGrid w:val="0"/>
              <w:rPr>
                <w:i/>
                <w:iCs/>
              </w:rPr>
            </w:pPr>
            <w:r w:rsidRPr="0057147E">
              <w:rPr>
                <w:rFonts w:cs="Arial"/>
                <w:b/>
                <w:bCs/>
              </w:rPr>
              <w:t>If a second autumn fungicide application after Shepherd is unlikely, then use Proline 275 in place of Shepherd</w:t>
            </w:r>
          </w:p>
        </w:tc>
        <w:tc>
          <w:tcPr>
            <w:tcW w:w="1952" w:type="dxa"/>
          </w:tcPr>
          <w:p w14:paraId="073D38A6" w14:textId="11EE51AB" w:rsidR="007E7B04" w:rsidRPr="00D01E29" w:rsidRDefault="007E7B04">
            <w:pPr>
              <w:pStyle w:val="Table-Body-leftaligned"/>
              <w:keepLines/>
              <w:snapToGrid w:val="0"/>
              <w:jc w:val="center"/>
              <w:rPr>
                <w:b/>
                <w:bCs/>
              </w:rPr>
            </w:pPr>
            <w:proofErr w:type="spellStart"/>
            <w:r w:rsidRPr="0057147E">
              <w:rPr>
                <w:rFonts w:cs="Arial"/>
                <w:b/>
                <w:bCs/>
              </w:rPr>
              <w:t>Phoma</w:t>
            </w:r>
            <w:proofErr w:type="spellEnd"/>
          </w:p>
        </w:tc>
        <w:tc>
          <w:tcPr>
            <w:tcW w:w="2200" w:type="dxa"/>
          </w:tcPr>
          <w:p w14:paraId="33995A03" w14:textId="05F82209" w:rsidR="007E7B04" w:rsidRPr="007E7B04" w:rsidRDefault="007E7B04" w:rsidP="007E7B04">
            <w:pPr>
              <w:pStyle w:val="Table-Body-leftaligned"/>
              <w:keepLines/>
              <w:snapToGrid w:val="0"/>
              <w:jc w:val="center"/>
            </w:pPr>
            <w:r w:rsidRPr="0057147E">
              <w:rPr>
                <w:rFonts w:cs="Arial"/>
                <w:b/>
                <w:bCs/>
              </w:rPr>
              <w:t>Shepherd</w:t>
            </w:r>
            <w:r>
              <w:rPr>
                <w:rFonts w:cs="Arial"/>
                <w:b/>
                <w:bCs/>
              </w:rPr>
              <w:t xml:space="preserve"> or </w:t>
            </w:r>
            <w:proofErr w:type="spellStart"/>
            <w:r w:rsidRPr="0019012D">
              <w:rPr>
                <w:rFonts w:cs="Arial"/>
                <w:b/>
                <w:bCs/>
              </w:rPr>
              <w:t>Pyrafen</w:t>
            </w:r>
            <w:proofErr w:type="spellEnd"/>
            <w:r>
              <w:rPr>
                <w:rFonts w:cs="Arial"/>
                <w:b/>
                <w:bCs/>
              </w:rPr>
              <w:t>*</w:t>
            </w:r>
          </w:p>
        </w:tc>
        <w:tc>
          <w:tcPr>
            <w:tcW w:w="2079" w:type="dxa"/>
          </w:tcPr>
          <w:p w14:paraId="1D1EF903" w14:textId="2A16EFF2" w:rsidR="007E7B04" w:rsidRPr="00D01E29" w:rsidRDefault="007E7B04" w:rsidP="007E7B04">
            <w:pPr>
              <w:pStyle w:val="Table-Body-leftaligned"/>
              <w:keepLines/>
              <w:snapToGrid w:val="0"/>
              <w:jc w:val="center"/>
              <w:rPr>
                <w:b/>
                <w:bCs/>
              </w:rPr>
            </w:pPr>
            <w:r w:rsidRPr="007E7B04">
              <w:rPr>
                <w:b/>
                <w:bCs/>
              </w:rPr>
              <w:t>0.4 l/ha</w:t>
            </w:r>
          </w:p>
        </w:tc>
        <w:tc>
          <w:tcPr>
            <w:tcW w:w="1958" w:type="dxa"/>
          </w:tcPr>
          <w:p w14:paraId="4843AC59" w14:textId="68F75587" w:rsidR="007E7B04" w:rsidRPr="008C28F8" w:rsidRDefault="008C28F8" w:rsidP="00131C9A">
            <w:pPr>
              <w:pStyle w:val="Table-Body-leftaligned"/>
              <w:keepLines/>
              <w:snapToGrid w:val="0"/>
              <w:jc w:val="center"/>
              <w:rPr>
                <w:b/>
                <w:bCs/>
              </w:rPr>
            </w:pPr>
            <w:r w:rsidRPr="008C28F8">
              <w:rPr>
                <w:b/>
                <w:bCs/>
              </w:rPr>
              <w:t>Compulsory</w:t>
            </w:r>
            <w:r>
              <w:rPr>
                <w:b/>
                <w:bCs/>
              </w:rPr>
              <w:t>.</w:t>
            </w:r>
          </w:p>
        </w:tc>
      </w:tr>
      <w:tr w:rsidR="00131C9A" w:rsidRPr="002818FB" w14:paraId="08B1557B" w14:textId="77777777">
        <w:trPr>
          <w:jc w:val="center"/>
        </w:trPr>
        <w:tc>
          <w:tcPr>
            <w:tcW w:w="1779" w:type="dxa"/>
          </w:tcPr>
          <w:p w14:paraId="0DD8B326" w14:textId="77777777" w:rsidR="00131C9A" w:rsidRPr="00131C9A" w:rsidRDefault="00131C9A" w:rsidP="00736B39">
            <w:pPr>
              <w:pStyle w:val="Table-Body-leftaligned"/>
              <w:keepLines/>
              <w:snapToGrid w:val="0"/>
              <w:rPr>
                <w:rFonts w:cs="Arial"/>
                <w:i/>
                <w:iCs/>
              </w:rPr>
            </w:pPr>
            <w:r w:rsidRPr="00131C9A">
              <w:rPr>
                <w:rFonts w:cs="Arial"/>
                <w:i/>
                <w:iCs/>
              </w:rPr>
              <w:t xml:space="preserve">Apply if </w:t>
            </w:r>
            <w:proofErr w:type="spellStart"/>
            <w:r w:rsidRPr="00131C9A">
              <w:rPr>
                <w:rFonts w:cs="Arial"/>
                <w:i/>
                <w:iCs/>
              </w:rPr>
              <w:t>phoma</w:t>
            </w:r>
            <w:proofErr w:type="spellEnd"/>
            <w:r w:rsidRPr="00131C9A">
              <w:rPr>
                <w:rFonts w:cs="Arial"/>
                <w:i/>
                <w:iCs/>
              </w:rPr>
              <w:t xml:space="preserve"> lesions spotted 4 – 6 weeks after previous application, or by end of December. Fungicide applied at this timing will also provide protection for light leaf spot, even if symptoms are not visible in the crop.  </w:t>
            </w:r>
          </w:p>
          <w:p w14:paraId="1DFE55DC" w14:textId="4D5D687F" w:rsidR="00131C9A" w:rsidRPr="0057147E" w:rsidRDefault="00131C9A" w:rsidP="00131C9A">
            <w:pPr>
              <w:pStyle w:val="Table-Body-leftaligned"/>
              <w:keepLines/>
              <w:snapToGrid w:val="0"/>
              <w:rPr>
                <w:rFonts w:cs="Arial"/>
                <w:b/>
                <w:bCs/>
              </w:rPr>
            </w:pPr>
            <w:r w:rsidRPr="00131C9A">
              <w:rPr>
                <w:rFonts w:cs="Arial"/>
                <w:i/>
                <w:iCs/>
              </w:rPr>
              <w:t>Depending on seasonal condition or disease pressure.</w:t>
            </w:r>
          </w:p>
        </w:tc>
        <w:tc>
          <w:tcPr>
            <w:tcW w:w="1952" w:type="dxa"/>
          </w:tcPr>
          <w:p w14:paraId="41309A69" w14:textId="0E6156D6" w:rsidR="00131C9A" w:rsidRPr="0057147E" w:rsidRDefault="00131C9A">
            <w:pPr>
              <w:pStyle w:val="Table-Body-leftaligned"/>
              <w:keepLines/>
              <w:snapToGrid w:val="0"/>
              <w:jc w:val="center"/>
              <w:rPr>
                <w:rFonts w:cs="Arial"/>
                <w:b/>
                <w:bCs/>
              </w:rPr>
            </w:pPr>
            <w:proofErr w:type="spellStart"/>
            <w:r w:rsidRPr="009C3FA3">
              <w:rPr>
                <w:rFonts w:cs="Arial"/>
                <w:i/>
                <w:iCs/>
              </w:rPr>
              <w:t>Phoma</w:t>
            </w:r>
            <w:proofErr w:type="spellEnd"/>
            <w:r w:rsidRPr="009C3FA3">
              <w:rPr>
                <w:rFonts w:cs="Arial"/>
                <w:i/>
                <w:iCs/>
              </w:rPr>
              <w:t xml:space="preserve"> or light leaf spot</w:t>
            </w:r>
          </w:p>
        </w:tc>
        <w:tc>
          <w:tcPr>
            <w:tcW w:w="2200" w:type="dxa"/>
          </w:tcPr>
          <w:p w14:paraId="00A07E8C" w14:textId="59AD94ED" w:rsidR="00131C9A" w:rsidRPr="0057147E" w:rsidRDefault="00131C9A" w:rsidP="007E7B04">
            <w:pPr>
              <w:pStyle w:val="Table-Body-leftaligned"/>
              <w:keepLines/>
              <w:snapToGrid w:val="0"/>
              <w:jc w:val="center"/>
              <w:rPr>
                <w:rFonts w:cs="Arial"/>
                <w:b/>
                <w:bCs/>
              </w:rPr>
            </w:pPr>
            <w:r w:rsidRPr="009C3FA3">
              <w:rPr>
                <w:rFonts w:cs="Arial"/>
                <w:i/>
                <w:iCs/>
              </w:rPr>
              <w:t xml:space="preserve">Aviator </w:t>
            </w:r>
            <w:proofErr w:type="spellStart"/>
            <w:r w:rsidRPr="009C3FA3">
              <w:rPr>
                <w:rFonts w:cs="Arial"/>
                <w:i/>
                <w:iCs/>
              </w:rPr>
              <w:t>Xpro</w:t>
            </w:r>
            <w:proofErr w:type="spellEnd"/>
          </w:p>
        </w:tc>
        <w:tc>
          <w:tcPr>
            <w:tcW w:w="2079" w:type="dxa"/>
          </w:tcPr>
          <w:p w14:paraId="28237084" w14:textId="7B2E9406" w:rsidR="00131C9A" w:rsidRPr="007E7B04" w:rsidRDefault="00131C9A" w:rsidP="007E7B04">
            <w:pPr>
              <w:pStyle w:val="Table-Body-leftaligned"/>
              <w:keepLines/>
              <w:snapToGrid w:val="0"/>
              <w:jc w:val="center"/>
              <w:rPr>
                <w:b/>
                <w:bCs/>
              </w:rPr>
            </w:pPr>
            <w:r>
              <w:rPr>
                <w:rFonts w:cs="Arial"/>
                <w:i/>
                <w:iCs/>
              </w:rPr>
              <w:t>1.0 l/ha</w:t>
            </w:r>
          </w:p>
        </w:tc>
        <w:tc>
          <w:tcPr>
            <w:tcW w:w="1958" w:type="dxa"/>
          </w:tcPr>
          <w:p w14:paraId="72A03F82" w14:textId="6BFB4F9A" w:rsidR="00131C9A" w:rsidRPr="00131C9A" w:rsidRDefault="008C28F8" w:rsidP="00131C9A">
            <w:pPr>
              <w:pStyle w:val="Table-Body-leftaligned"/>
              <w:keepLines/>
              <w:snapToGrid w:val="0"/>
              <w:jc w:val="center"/>
              <w:rPr>
                <w:i/>
                <w:iCs/>
              </w:rPr>
            </w:pPr>
            <w:r>
              <w:rPr>
                <w:i/>
                <w:iCs/>
              </w:rPr>
              <w:t>Optional.</w:t>
            </w:r>
          </w:p>
        </w:tc>
      </w:tr>
    </w:tbl>
    <w:p w14:paraId="67CF79A9" w14:textId="62E5E032" w:rsidR="00A90CF5" w:rsidRPr="00131C9A" w:rsidRDefault="00131C9A" w:rsidP="00131C9A">
      <w:pPr>
        <w:rPr>
          <w:i/>
          <w:iCs/>
        </w:rPr>
      </w:pPr>
      <w:r w:rsidRPr="00131C9A">
        <w:rPr>
          <w:i/>
          <w:iCs/>
        </w:rPr>
        <w:t>*Consult the relevant trials co-ordinator if this product is unavailable.</w:t>
      </w:r>
    </w:p>
    <w:p w14:paraId="5113C76C" w14:textId="6DD066F3" w:rsidR="00131C9A" w:rsidRPr="00A90CF5" w:rsidRDefault="00A90CF5" w:rsidP="00A90CF5">
      <w:pPr>
        <w:tabs>
          <w:tab w:val="center" w:pos="4989"/>
        </w:tabs>
        <w:sectPr w:rsidR="00131C9A" w:rsidRPr="00A90CF5" w:rsidSect="00F36153">
          <w:headerReference w:type="default" r:id="rId10"/>
          <w:footerReference w:type="even" r:id="rId11"/>
          <w:footerReference w:type="default" r:id="rId12"/>
          <w:headerReference w:type="first" r:id="rId13"/>
          <w:pgSz w:w="11906" w:h="16838"/>
          <w:pgMar w:top="2268" w:right="964" w:bottom="2041" w:left="964" w:header="680" w:footer="0" w:gutter="0"/>
          <w:cols w:space="708"/>
          <w:titlePg/>
          <w:docGrid w:linePitch="360"/>
        </w:sectPr>
      </w:pPr>
      <w:r>
        <w:tab/>
      </w:r>
    </w:p>
    <w:p w14:paraId="3D0250E0" w14:textId="28D56F60" w:rsidR="0082080F" w:rsidRDefault="00B05791" w:rsidP="00B05791">
      <w:pPr>
        <w:pStyle w:val="Heading2"/>
      </w:pPr>
      <w:r>
        <w:lastRenderedPageBreak/>
        <w:t>Contact us</w:t>
      </w:r>
    </w:p>
    <w:p w14:paraId="37430772" w14:textId="77777777" w:rsidR="00B05791" w:rsidRDefault="00B05791" w:rsidP="00B05791">
      <w:r w:rsidRPr="00B05791">
        <w:t xml:space="preserve">AHDB, Siskin Parkway East, Middlemarch Business Park, Coventry CV3 4PE </w:t>
      </w:r>
      <w:r w:rsidRPr="00B05791">
        <w:tab/>
      </w:r>
    </w:p>
    <w:p w14:paraId="1CE56650" w14:textId="76BFCDB1" w:rsidR="0082080F" w:rsidRDefault="00B05791" w:rsidP="00B05791">
      <w:r w:rsidRPr="00B05791">
        <w:t>Email: info@ahdb.org.uk</w:t>
      </w:r>
    </w:p>
    <w:p w14:paraId="733A8006" w14:textId="76166EBB" w:rsidR="00C93514" w:rsidRDefault="00C93514" w:rsidP="00534A9E"/>
    <w:sectPr w:rsidR="00C93514" w:rsidSect="003F551F">
      <w:pgSz w:w="11906" w:h="16838"/>
      <w:pgMar w:top="1135" w:right="964" w:bottom="2041" w:left="96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E421" w14:textId="77777777" w:rsidR="001C2607" w:rsidRDefault="001C2607" w:rsidP="00F86FBC">
      <w:r>
        <w:separator/>
      </w:r>
    </w:p>
    <w:p w14:paraId="17B18395" w14:textId="77777777" w:rsidR="001C2607" w:rsidRDefault="001C2607"/>
  </w:endnote>
  <w:endnote w:type="continuationSeparator" w:id="0">
    <w:p w14:paraId="10C49D8D" w14:textId="77777777" w:rsidR="001C2607" w:rsidRDefault="001C2607" w:rsidP="00F86FBC">
      <w:r>
        <w:continuationSeparator/>
      </w:r>
    </w:p>
    <w:p w14:paraId="61DCDE4C" w14:textId="77777777" w:rsidR="001C2607" w:rsidRDefault="001C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altName w:val="Ubuntu Medium"/>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5BC46497"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3EA45" w14:textId="77777777" w:rsidR="00F41E71" w:rsidRDefault="00F41E71" w:rsidP="00F86FBC">
    <w:pPr>
      <w:pStyle w:val="Footer"/>
    </w:pPr>
  </w:p>
  <w:p w14:paraId="664F24BE"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882D" w14:textId="154A84EC" w:rsidR="00B05791" w:rsidRPr="00F36153" w:rsidRDefault="00F41E71" w:rsidP="00740B5A">
    <w:pPr>
      <w:pStyle w:val="Footer"/>
      <w:tabs>
        <w:tab w:val="clear" w:pos="4513"/>
        <w:tab w:val="center" w:pos="4395"/>
      </w:tabs>
      <w:rPr>
        <w:sz w:val="20"/>
      </w:rPr>
    </w:pPr>
    <w:r w:rsidRPr="00F36153">
      <w:rPr>
        <w:sz w:val="20"/>
      </w:rPr>
      <w:t xml:space="preserve">Page </w:t>
    </w:r>
    <w:r w:rsidRPr="00F36153">
      <w:rPr>
        <w:sz w:val="20"/>
      </w:rPr>
      <w:fldChar w:fldCharType="begin"/>
    </w:r>
    <w:r w:rsidRPr="00F36153">
      <w:rPr>
        <w:sz w:val="20"/>
      </w:rPr>
      <w:instrText xml:space="preserve"> PAGE  \* Arabic  \* MERGEFORMAT </w:instrText>
    </w:r>
    <w:r w:rsidRPr="00F36153">
      <w:rPr>
        <w:sz w:val="20"/>
      </w:rPr>
      <w:fldChar w:fldCharType="separate"/>
    </w:r>
    <w:r w:rsidRPr="00F36153">
      <w:rPr>
        <w:sz w:val="20"/>
      </w:rPr>
      <w:t>2</w:t>
    </w:r>
    <w:r w:rsidRPr="00F36153">
      <w:rPr>
        <w:sz w:val="20"/>
      </w:rPr>
      <w:fldChar w:fldCharType="end"/>
    </w:r>
    <w:r w:rsidRPr="00F36153">
      <w:rPr>
        <w:sz w:val="20"/>
      </w:rPr>
      <w:t xml:space="preserve"> of </w:t>
    </w:r>
    <w:r w:rsidRPr="00F36153">
      <w:rPr>
        <w:sz w:val="20"/>
      </w:rPr>
      <w:fldChar w:fldCharType="begin"/>
    </w:r>
    <w:r w:rsidRPr="00F36153">
      <w:rPr>
        <w:sz w:val="20"/>
      </w:rPr>
      <w:instrText xml:space="preserve"> NUMPAGES  \* Arabic  \* MERGEFORMAT </w:instrText>
    </w:r>
    <w:r w:rsidRPr="00F36153">
      <w:rPr>
        <w:sz w:val="20"/>
      </w:rPr>
      <w:fldChar w:fldCharType="separate"/>
    </w:r>
    <w:r w:rsidRPr="00F36153">
      <w:rPr>
        <w:sz w:val="20"/>
      </w:rPr>
      <w:t>2</w:t>
    </w:r>
    <w:r w:rsidRPr="00F36153">
      <w:rPr>
        <w:sz w:val="20"/>
      </w:rPr>
      <w:fldChar w:fldCharType="end"/>
    </w:r>
    <w:r w:rsidR="002341E1" w:rsidRPr="00F36153">
      <w:rPr>
        <w:sz w:val="20"/>
      </w:rPr>
      <w:t xml:space="preserve"> </w:t>
    </w:r>
    <w:r w:rsidR="00F36153">
      <w:rPr>
        <w:sz w:val="20"/>
      </w:rPr>
      <w:t xml:space="preserve">                                     </w:t>
    </w:r>
    <w:r w:rsidR="002341E1" w:rsidRPr="00F36153">
      <w:rPr>
        <w:sz w:val="20"/>
      </w:rPr>
      <w:tab/>
    </w:r>
    <w:r w:rsidR="00B539D5" w:rsidRPr="00F36153">
      <w:rPr>
        <w:sz w:val="20"/>
      </w:rPr>
      <w:sym w:font="Symbol" w:char="F0E3"/>
    </w:r>
    <w:r w:rsidR="00B539D5" w:rsidRPr="00F36153">
      <w:rPr>
        <w:sz w:val="20"/>
      </w:rPr>
      <w:t xml:space="preserve"> Agriculture and Horticulture Development Board </w:t>
    </w:r>
    <w:r w:rsidR="00B539D5" w:rsidRPr="00F36153">
      <w:rPr>
        <w:sz w:val="20"/>
      </w:rPr>
      <w:fldChar w:fldCharType="begin"/>
    </w:r>
    <w:r w:rsidR="00B539D5" w:rsidRPr="00F36153">
      <w:rPr>
        <w:sz w:val="20"/>
      </w:rPr>
      <w:instrText xml:space="preserve"> DATE \@ "yyyy" \* MERGEFORMAT </w:instrText>
    </w:r>
    <w:r w:rsidR="00B539D5" w:rsidRPr="00F36153">
      <w:rPr>
        <w:sz w:val="20"/>
      </w:rPr>
      <w:fldChar w:fldCharType="separate"/>
    </w:r>
    <w:r w:rsidR="00187075">
      <w:rPr>
        <w:noProof/>
        <w:sz w:val="20"/>
      </w:rPr>
      <w:t>2026</w:t>
    </w:r>
    <w:r w:rsidR="00B539D5" w:rsidRPr="00F36153">
      <w:rPr>
        <w:sz w:val="20"/>
      </w:rPr>
      <w:fldChar w:fldCharType="end"/>
    </w:r>
    <w:r w:rsidR="00B539D5" w:rsidRPr="00F36153">
      <w:rPr>
        <w:sz w:val="20"/>
      </w:rPr>
      <w:t>. All rights reserved.</w:t>
    </w:r>
  </w:p>
  <w:p w14:paraId="3BB49FB2" w14:textId="1D876DB3" w:rsidR="00F41E71" w:rsidRPr="00F36153" w:rsidRDefault="00F41E71" w:rsidP="00B05791">
    <w:pPr>
      <w:pStyle w:val="Footer"/>
      <w:tabs>
        <w:tab w:val="center" w:pos="4395"/>
      </w:tabs>
      <w:rPr>
        <w:sz w:val="20"/>
      </w:rPr>
    </w:pPr>
  </w:p>
  <w:p w14:paraId="1B5F43D0" w14:textId="77777777" w:rsidR="00F2259C" w:rsidRDefault="00F2259C" w:rsidP="00F86FBC">
    <w:pPr>
      <w:pStyle w:val="Footer"/>
    </w:pPr>
  </w:p>
  <w:p w14:paraId="30B9355D"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0B45" w14:textId="77777777" w:rsidR="001C2607" w:rsidRDefault="001C2607" w:rsidP="00F86FBC">
      <w:r>
        <w:separator/>
      </w:r>
    </w:p>
    <w:p w14:paraId="4B4412C2" w14:textId="77777777" w:rsidR="001C2607" w:rsidRDefault="001C2607"/>
  </w:footnote>
  <w:footnote w:type="continuationSeparator" w:id="0">
    <w:p w14:paraId="7AD58A8F" w14:textId="77777777" w:rsidR="001C2607" w:rsidRDefault="001C2607" w:rsidP="00F86FBC">
      <w:r>
        <w:continuationSeparator/>
      </w:r>
    </w:p>
    <w:p w14:paraId="6D318C41" w14:textId="77777777" w:rsidR="001C2607" w:rsidRDefault="001C2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69D5" w14:textId="78E235EF" w:rsidR="005D76FD" w:rsidRDefault="005D76FD" w:rsidP="00F86FBC">
    <w:pPr>
      <w:pStyle w:val="Header"/>
    </w:pPr>
  </w:p>
  <w:p w14:paraId="0AD9F250" w14:textId="77777777" w:rsidR="005D76FD" w:rsidRDefault="005D76FD" w:rsidP="00F86FBC">
    <w:pPr>
      <w:pStyle w:val="Header"/>
    </w:pPr>
  </w:p>
  <w:p w14:paraId="6631AA0C" w14:textId="77777777" w:rsidR="00783013" w:rsidRDefault="007830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36D7" w14:textId="193C1B9F" w:rsidR="00F36153" w:rsidRDefault="00F36153">
    <w:pPr>
      <w:pStyle w:val="Header"/>
    </w:pPr>
    <w:r w:rsidRPr="007A3454">
      <w:rPr>
        <w:rStyle w:val="Heading2Char"/>
        <w:rFonts w:eastAsiaTheme="minorHAnsi"/>
        <w:noProof/>
        <w:lang w:val="en-US" w:eastAsia="en-US"/>
      </w:rPr>
      <w:drawing>
        <wp:anchor distT="0" distB="0" distL="114300" distR="114300" simplePos="0" relativeHeight="251659264" behindDoc="0" locked="0" layoutInCell="1" allowOverlap="1" wp14:anchorId="31FC57BD" wp14:editId="671EDC1C">
          <wp:simplePos x="0" y="0"/>
          <wp:positionH relativeFrom="column">
            <wp:posOffset>5105400</wp:posOffset>
          </wp:positionH>
          <wp:positionV relativeFrom="paragraph">
            <wp:posOffset>-635</wp:posOffset>
          </wp:positionV>
          <wp:extent cx="1259840" cy="546100"/>
          <wp:effectExtent l="0" t="0" r="0" b="0"/>
          <wp:wrapNone/>
          <wp:docPr id="1337431640" name="Picture 133743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03.25pt;visibility:visibl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1F66B87"/>
    <w:multiLevelType w:val="hybridMultilevel"/>
    <w:tmpl w:val="C930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5"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7"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1"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5"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9"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0"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5"/>
  </w:num>
  <w:num w:numId="2" w16cid:durableId="440146533">
    <w:abstractNumId w:val="0"/>
  </w:num>
  <w:num w:numId="3" w16cid:durableId="2051806794">
    <w:abstractNumId w:val="18"/>
  </w:num>
  <w:num w:numId="4" w16cid:durableId="1476675530">
    <w:abstractNumId w:val="30"/>
  </w:num>
  <w:num w:numId="5" w16cid:durableId="1114057574">
    <w:abstractNumId w:val="32"/>
  </w:num>
  <w:num w:numId="6" w16cid:durableId="1979526830">
    <w:abstractNumId w:val="22"/>
  </w:num>
  <w:num w:numId="7" w16cid:durableId="686911828">
    <w:abstractNumId w:val="21"/>
  </w:num>
  <w:num w:numId="8" w16cid:durableId="1088189810">
    <w:abstractNumId w:val="17"/>
  </w:num>
  <w:num w:numId="9" w16cid:durableId="998582142">
    <w:abstractNumId w:val="12"/>
  </w:num>
  <w:num w:numId="10" w16cid:durableId="2112973659">
    <w:abstractNumId w:val="13"/>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6"/>
  </w:num>
  <w:num w:numId="22" w16cid:durableId="669450329">
    <w:abstractNumId w:val="24"/>
  </w:num>
  <w:num w:numId="23" w16cid:durableId="1919287998">
    <w:abstractNumId w:val="28"/>
  </w:num>
  <w:num w:numId="24" w16cid:durableId="2006857881">
    <w:abstractNumId w:val="19"/>
  </w:num>
  <w:num w:numId="25" w16cid:durableId="1574075096">
    <w:abstractNumId w:val="20"/>
  </w:num>
  <w:num w:numId="26" w16cid:durableId="264920688">
    <w:abstractNumId w:val="15"/>
  </w:num>
  <w:num w:numId="27" w16cid:durableId="1996297387">
    <w:abstractNumId w:val="27"/>
  </w:num>
  <w:num w:numId="28" w16cid:durableId="495390249">
    <w:abstractNumId w:val="23"/>
  </w:num>
  <w:num w:numId="29" w16cid:durableId="759790617">
    <w:abstractNumId w:val="19"/>
    <w:lvlOverride w:ilvl="0">
      <w:startOverride w:val="1"/>
    </w:lvlOverride>
  </w:num>
  <w:num w:numId="30" w16cid:durableId="1368289204">
    <w:abstractNumId w:val="31"/>
  </w:num>
  <w:num w:numId="31" w16cid:durableId="756832289">
    <w:abstractNumId w:val="14"/>
  </w:num>
  <w:num w:numId="32" w16cid:durableId="2110000414">
    <w:abstractNumId w:val="33"/>
  </w:num>
  <w:num w:numId="33" w16cid:durableId="1933931263">
    <w:abstractNumId w:val="16"/>
  </w:num>
  <w:num w:numId="34" w16cid:durableId="1722896190">
    <w:abstractNumId w:val="29"/>
  </w:num>
  <w:num w:numId="35" w16cid:durableId="1818262511">
    <w:abstractNumId w:val="10"/>
  </w:num>
  <w:num w:numId="36" w16cid:durableId="1238188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BSFWQWUoZqn7h6R5qC31+K4+OXOSuLts9wZilQcWumooRO/oMvEWJTnHj+a/+aLVJ4epZr2r1E6rQTq/TfvdQ==" w:salt="oZQvfYd4uyjJBErJU+bXv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91"/>
    <w:rsid w:val="00005C32"/>
    <w:rsid w:val="000073E2"/>
    <w:rsid w:val="00010023"/>
    <w:rsid w:val="00010C5F"/>
    <w:rsid w:val="000541B5"/>
    <w:rsid w:val="000603D9"/>
    <w:rsid w:val="00060BAD"/>
    <w:rsid w:val="0006243B"/>
    <w:rsid w:val="000652BD"/>
    <w:rsid w:val="0008594E"/>
    <w:rsid w:val="000C0E78"/>
    <w:rsid w:val="000C0EAA"/>
    <w:rsid w:val="000C5AD0"/>
    <w:rsid w:val="000C6DA1"/>
    <w:rsid w:val="000D18AD"/>
    <w:rsid w:val="000E0CC6"/>
    <w:rsid w:val="00123796"/>
    <w:rsid w:val="001276F4"/>
    <w:rsid w:val="00131C9A"/>
    <w:rsid w:val="00136CA7"/>
    <w:rsid w:val="0015453B"/>
    <w:rsid w:val="00162F15"/>
    <w:rsid w:val="00164680"/>
    <w:rsid w:val="0017068D"/>
    <w:rsid w:val="001777A4"/>
    <w:rsid w:val="00187075"/>
    <w:rsid w:val="001924A6"/>
    <w:rsid w:val="001A77E4"/>
    <w:rsid w:val="001A7B17"/>
    <w:rsid w:val="001B22CB"/>
    <w:rsid w:val="001C2607"/>
    <w:rsid w:val="001E14E4"/>
    <w:rsid w:val="001E675E"/>
    <w:rsid w:val="00204B44"/>
    <w:rsid w:val="00211E92"/>
    <w:rsid w:val="00213709"/>
    <w:rsid w:val="00226D7C"/>
    <w:rsid w:val="00233DA5"/>
    <w:rsid w:val="002341E1"/>
    <w:rsid w:val="00243D9B"/>
    <w:rsid w:val="00263DD9"/>
    <w:rsid w:val="002655B1"/>
    <w:rsid w:val="0027056A"/>
    <w:rsid w:val="00271B49"/>
    <w:rsid w:val="00271FAB"/>
    <w:rsid w:val="00284707"/>
    <w:rsid w:val="00295C29"/>
    <w:rsid w:val="002A3CB4"/>
    <w:rsid w:val="002B0C00"/>
    <w:rsid w:val="002B53AC"/>
    <w:rsid w:val="002B708D"/>
    <w:rsid w:val="002D1274"/>
    <w:rsid w:val="002D17D3"/>
    <w:rsid w:val="002E0F08"/>
    <w:rsid w:val="002E4B61"/>
    <w:rsid w:val="002F559A"/>
    <w:rsid w:val="002F64F8"/>
    <w:rsid w:val="00300146"/>
    <w:rsid w:val="003016D2"/>
    <w:rsid w:val="00303646"/>
    <w:rsid w:val="00310DEB"/>
    <w:rsid w:val="003379F4"/>
    <w:rsid w:val="00337D0D"/>
    <w:rsid w:val="0035023E"/>
    <w:rsid w:val="00371A1C"/>
    <w:rsid w:val="003779B1"/>
    <w:rsid w:val="003871AE"/>
    <w:rsid w:val="00391132"/>
    <w:rsid w:val="003946C5"/>
    <w:rsid w:val="003D0E26"/>
    <w:rsid w:val="003D0E4F"/>
    <w:rsid w:val="003D10DF"/>
    <w:rsid w:val="003D4FE9"/>
    <w:rsid w:val="003F551F"/>
    <w:rsid w:val="00421214"/>
    <w:rsid w:val="00426604"/>
    <w:rsid w:val="00437579"/>
    <w:rsid w:val="004441FD"/>
    <w:rsid w:val="004556F2"/>
    <w:rsid w:val="00460A64"/>
    <w:rsid w:val="00467747"/>
    <w:rsid w:val="00470C05"/>
    <w:rsid w:val="0049755E"/>
    <w:rsid w:val="0049758A"/>
    <w:rsid w:val="004A5E0F"/>
    <w:rsid w:val="004B3BAA"/>
    <w:rsid w:val="004C0E9A"/>
    <w:rsid w:val="004D5544"/>
    <w:rsid w:val="004F2A87"/>
    <w:rsid w:val="004F44A9"/>
    <w:rsid w:val="00502D75"/>
    <w:rsid w:val="00522FD8"/>
    <w:rsid w:val="005251E0"/>
    <w:rsid w:val="0052718A"/>
    <w:rsid w:val="00527301"/>
    <w:rsid w:val="00530B1B"/>
    <w:rsid w:val="005323C8"/>
    <w:rsid w:val="00534A9E"/>
    <w:rsid w:val="00544050"/>
    <w:rsid w:val="00546BC3"/>
    <w:rsid w:val="00552E3D"/>
    <w:rsid w:val="00576BFE"/>
    <w:rsid w:val="0058372E"/>
    <w:rsid w:val="005873B4"/>
    <w:rsid w:val="005B380E"/>
    <w:rsid w:val="005C0E73"/>
    <w:rsid w:val="005D6F6B"/>
    <w:rsid w:val="005D76FD"/>
    <w:rsid w:val="005F5A75"/>
    <w:rsid w:val="005F710F"/>
    <w:rsid w:val="00611317"/>
    <w:rsid w:val="00625DDC"/>
    <w:rsid w:val="0062607B"/>
    <w:rsid w:val="006309B4"/>
    <w:rsid w:val="00632A67"/>
    <w:rsid w:val="00665990"/>
    <w:rsid w:val="006803BA"/>
    <w:rsid w:val="00683160"/>
    <w:rsid w:val="00686074"/>
    <w:rsid w:val="006A4280"/>
    <w:rsid w:val="006A57A2"/>
    <w:rsid w:val="006B53F0"/>
    <w:rsid w:val="006E46BF"/>
    <w:rsid w:val="006F0812"/>
    <w:rsid w:val="00705F7A"/>
    <w:rsid w:val="0071444F"/>
    <w:rsid w:val="00725D0B"/>
    <w:rsid w:val="00731F40"/>
    <w:rsid w:val="00736B39"/>
    <w:rsid w:val="00740B5A"/>
    <w:rsid w:val="00753979"/>
    <w:rsid w:val="0075769F"/>
    <w:rsid w:val="00773A07"/>
    <w:rsid w:val="00783013"/>
    <w:rsid w:val="0079054C"/>
    <w:rsid w:val="007A3454"/>
    <w:rsid w:val="007B0146"/>
    <w:rsid w:val="007B0F62"/>
    <w:rsid w:val="007E51BB"/>
    <w:rsid w:val="007E7B04"/>
    <w:rsid w:val="007F230D"/>
    <w:rsid w:val="00800A52"/>
    <w:rsid w:val="0082080F"/>
    <w:rsid w:val="00820EC5"/>
    <w:rsid w:val="008270F4"/>
    <w:rsid w:val="0083209F"/>
    <w:rsid w:val="008550BC"/>
    <w:rsid w:val="008552E0"/>
    <w:rsid w:val="00864C3E"/>
    <w:rsid w:val="008729D9"/>
    <w:rsid w:val="0089180B"/>
    <w:rsid w:val="00896AB5"/>
    <w:rsid w:val="00896C3E"/>
    <w:rsid w:val="008B2A08"/>
    <w:rsid w:val="008B56E8"/>
    <w:rsid w:val="008C28F8"/>
    <w:rsid w:val="008C7FD4"/>
    <w:rsid w:val="008D3AC1"/>
    <w:rsid w:val="008D6F80"/>
    <w:rsid w:val="00910997"/>
    <w:rsid w:val="009260A8"/>
    <w:rsid w:val="00926D5E"/>
    <w:rsid w:val="0092727B"/>
    <w:rsid w:val="00932A32"/>
    <w:rsid w:val="00933190"/>
    <w:rsid w:val="0095095F"/>
    <w:rsid w:val="00952182"/>
    <w:rsid w:val="00954387"/>
    <w:rsid w:val="00955D45"/>
    <w:rsid w:val="009816EB"/>
    <w:rsid w:val="009818CE"/>
    <w:rsid w:val="00984BF1"/>
    <w:rsid w:val="009A2990"/>
    <w:rsid w:val="009C12B8"/>
    <w:rsid w:val="009C31AB"/>
    <w:rsid w:val="009D6691"/>
    <w:rsid w:val="009E755D"/>
    <w:rsid w:val="00A217A0"/>
    <w:rsid w:val="00A37BFE"/>
    <w:rsid w:val="00A42E0D"/>
    <w:rsid w:val="00A56646"/>
    <w:rsid w:val="00A61D66"/>
    <w:rsid w:val="00A63591"/>
    <w:rsid w:val="00A647AE"/>
    <w:rsid w:val="00A72177"/>
    <w:rsid w:val="00A73699"/>
    <w:rsid w:val="00A90CF5"/>
    <w:rsid w:val="00AB2A06"/>
    <w:rsid w:val="00AB5719"/>
    <w:rsid w:val="00AD4DEA"/>
    <w:rsid w:val="00AE2062"/>
    <w:rsid w:val="00AE24ED"/>
    <w:rsid w:val="00AE388B"/>
    <w:rsid w:val="00AE499B"/>
    <w:rsid w:val="00AE67A1"/>
    <w:rsid w:val="00B008EB"/>
    <w:rsid w:val="00B00C84"/>
    <w:rsid w:val="00B05791"/>
    <w:rsid w:val="00B1575C"/>
    <w:rsid w:val="00B20325"/>
    <w:rsid w:val="00B20C75"/>
    <w:rsid w:val="00B27019"/>
    <w:rsid w:val="00B27316"/>
    <w:rsid w:val="00B31E1F"/>
    <w:rsid w:val="00B360F6"/>
    <w:rsid w:val="00B52380"/>
    <w:rsid w:val="00B533D0"/>
    <w:rsid w:val="00B539D5"/>
    <w:rsid w:val="00B7599C"/>
    <w:rsid w:val="00B83C96"/>
    <w:rsid w:val="00B84186"/>
    <w:rsid w:val="00B842B0"/>
    <w:rsid w:val="00BA078F"/>
    <w:rsid w:val="00BB51D6"/>
    <w:rsid w:val="00BC23D2"/>
    <w:rsid w:val="00BD2E1A"/>
    <w:rsid w:val="00BF495F"/>
    <w:rsid w:val="00BF4B69"/>
    <w:rsid w:val="00BF6837"/>
    <w:rsid w:val="00C100F5"/>
    <w:rsid w:val="00C12BCC"/>
    <w:rsid w:val="00C13308"/>
    <w:rsid w:val="00C30205"/>
    <w:rsid w:val="00C43DBA"/>
    <w:rsid w:val="00C45208"/>
    <w:rsid w:val="00C55790"/>
    <w:rsid w:val="00C60438"/>
    <w:rsid w:val="00C637AB"/>
    <w:rsid w:val="00C66840"/>
    <w:rsid w:val="00C70315"/>
    <w:rsid w:val="00C83997"/>
    <w:rsid w:val="00C93514"/>
    <w:rsid w:val="00C97F90"/>
    <w:rsid w:val="00CC1E0C"/>
    <w:rsid w:val="00CC2858"/>
    <w:rsid w:val="00CC4B0E"/>
    <w:rsid w:val="00CC57CB"/>
    <w:rsid w:val="00CD18BF"/>
    <w:rsid w:val="00CD2B26"/>
    <w:rsid w:val="00CD566B"/>
    <w:rsid w:val="00CE697C"/>
    <w:rsid w:val="00CE6A48"/>
    <w:rsid w:val="00CF470A"/>
    <w:rsid w:val="00CF4D0E"/>
    <w:rsid w:val="00D008FE"/>
    <w:rsid w:val="00D01E29"/>
    <w:rsid w:val="00D06B06"/>
    <w:rsid w:val="00D2272E"/>
    <w:rsid w:val="00D30757"/>
    <w:rsid w:val="00D37F7C"/>
    <w:rsid w:val="00D57709"/>
    <w:rsid w:val="00D73D65"/>
    <w:rsid w:val="00D8638C"/>
    <w:rsid w:val="00D90A95"/>
    <w:rsid w:val="00DB2D05"/>
    <w:rsid w:val="00DC146D"/>
    <w:rsid w:val="00DC1ABF"/>
    <w:rsid w:val="00DD10C2"/>
    <w:rsid w:val="00DD16C6"/>
    <w:rsid w:val="00DD39E2"/>
    <w:rsid w:val="00DF7ADC"/>
    <w:rsid w:val="00E04911"/>
    <w:rsid w:val="00E40DB7"/>
    <w:rsid w:val="00E4578E"/>
    <w:rsid w:val="00E511D0"/>
    <w:rsid w:val="00E549BE"/>
    <w:rsid w:val="00E5543B"/>
    <w:rsid w:val="00E62483"/>
    <w:rsid w:val="00E6780A"/>
    <w:rsid w:val="00E83E71"/>
    <w:rsid w:val="00EA05F2"/>
    <w:rsid w:val="00EA7745"/>
    <w:rsid w:val="00EB0C82"/>
    <w:rsid w:val="00EB332B"/>
    <w:rsid w:val="00EC5325"/>
    <w:rsid w:val="00EC729C"/>
    <w:rsid w:val="00ED1C76"/>
    <w:rsid w:val="00EE1F0C"/>
    <w:rsid w:val="00EE2530"/>
    <w:rsid w:val="00EE35C5"/>
    <w:rsid w:val="00EE4203"/>
    <w:rsid w:val="00EE77FC"/>
    <w:rsid w:val="00F04E0F"/>
    <w:rsid w:val="00F151EC"/>
    <w:rsid w:val="00F2259C"/>
    <w:rsid w:val="00F27551"/>
    <w:rsid w:val="00F328B5"/>
    <w:rsid w:val="00F36153"/>
    <w:rsid w:val="00F41D79"/>
    <w:rsid w:val="00F41E71"/>
    <w:rsid w:val="00F52587"/>
    <w:rsid w:val="00F622F6"/>
    <w:rsid w:val="00F62404"/>
    <w:rsid w:val="00F73EE7"/>
    <w:rsid w:val="00F86FBC"/>
    <w:rsid w:val="00F90E21"/>
    <w:rsid w:val="00F97A8D"/>
    <w:rsid w:val="00FA051F"/>
    <w:rsid w:val="00FA1F61"/>
    <w:rsid w:val="00FA26AE"/>
    <w:rsid w:val="00FA4019"/>
    <w:rsid w:val="00FA48C7"/>
    <w:rsid w:val="00FA5EBB"/>
    <w:rsid w:val="00FA7E00"/>
    <w:rsid w:val="00FD2C9D"/>
    <w:rsid w:val="00FD616B"/>
    <w:rsid w:val="00FE320C"/>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4BE60"/>
  <w15:chartTrackingRefBased/>
  <w15:docId w15:val="{5E94FFBD-7510-4965-8DA6-70B793E6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551F"/>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qFormat/>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qFormat/>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qFormat/>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table" w:customStyle="1" w:styleId="TableGrid1">
    <w:name w:val="Table Grid1"/>
    <w:basedOn w:val="TableNormal"/>
    <w:next w:val="TableGrid"/>
    <w:uiPriority w:val="39"/>
    <w:rsid w:val="00910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Body-centred"/>
    <w:link w:val="TableheadingChar"/>
    <w:qFormat/>
    <w:rsid w:val="00910997"/>
    <w:pPr>
      <w:keepLines/>
      <w:snapToGrid w:val="0"/>
    </w:pPr>
    <w:rPr>
      <w:b/>
      <w:bCs/>
    </w:rPr>
  </w:style>
  <w:style w:type="character" w:customStyle="1" w:styleId="Table-Body-centredChar">
    <w:name w:val="Table - Body - centred Char"/>
    <w:basedOn w:val="DefaultParagraphFont"/>
    <w:link w:val="Table-Body-centred"/>
    <w:rsid w:val="00910997"/>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910997"/>
    <w:rPr>
      <w:rFonts w:ascii="Arial" w:eastAsiaTheme="minorEastAsia" w:hAnsi="Arial" w:cs="Arial"/>
      <w:b/>
      <w:bCs/>
      <w:color w:val="4D4D4C"/>
      <w:sz w:val="18"/>
      <w:szCs w:val="18"/>
      <w:lang w:eastAsia="ja-JP"/>
    </w:rPr>
  </w:style>
  <w:style w:type="character" w:styleId="CommentReference">
    <w:name w:val="annotation reference"/>
    <w:basedOn w:val="DefaultParagraphFont"/>
    <w:uiPriority w:val="99"/>
    <w:semiHidden/>
    <w:unhideWhenUsed/>
    <w:rsid w:val="003F551F"/>
    <w:rPr>
      <w:sz w:val="16"/>
      <w:szCs w:val="16"/>
    </w:rPr>
  </w:style>
  <w:style w:type="paragraph" w:styleId="CommentText">
    <w:name w:val="annotation text"/>
    <w:basedOn w:val="Normal"/>
    <w:link w:val="CommentTextChar"/>
    <w:uiPriority w:val="99"/>
    <w:unhideWhenUsed/>
    <w:rsid w:val="003F551F"/>
    <w:pPr>
      <w:spacing w:after="0"/>
    </w:pPr>
    <w:rPr>
      <w:rFonts w:eastAsiaTheme="minorHAnsi" w:cstheme="minorBidi"/>
      <w:color w:val="auto"/>
      <w:lang w:eastAsia="en-US"/>
    </w:rPr>
  </w:style>
  <w:style w:type="character" w:customStyle="1" w:styleId="CommentTextChar">
    <w:name w:val="Comment Text Char"/>
    <w:basedOn w:val="DefaultParagraphFont"/>
    <w:link w:val="CommentText"/>
    <w:uiPriority w:val="99"/>
    <w:rsid w:val="003F551F"/>
    <w:rPr>
      <w:rFonts w:ascii="Arial" w:hAnsi="Arial"/>
      <w:sz w:val="20"/>
      <w:szCs w:val="20"/>
    </w:rPr>
  </w:style>
  <w:style w:type="paragraph" w:styleId="NoSpacing">
    <w:name w:val="No Spacing"/>
    <w:uiPriority w:val="1"/>
    <w:qFormat/>
    <w:rsid w:val="001E14E4"/>
    <w:pPr>
      <w:spacing w:after="0" w:line="240" w:lineRule="auto"/>
    </w:pPr>
  </w:style>
  <w:style w:type="paragraph" w:styleId="CommentSubject">
    <w:name w:val="annotation subject"/>
    <w:basedOn w:val="CommentText"/>
    <w:next w:val="CommentText"/>
    <w:link w:val="CommentSubjectChar"/>
    <w:uiPriority w:val="99"/>
    <w:semiHidden/>
    <w:unhideWhenUsed/>
    <w:rsid w:val="00FA5EBB"/>
    <w:pPr>
      <w:spacing w:after="160"/>
    </w:pPr>
    <w:rPr>
      <w:rFonts w:eastAsia="Times New Roman" w:cs="Arial"/>
      <w:b/>
      <w:bCs/>
      <w:color w:val="5F5F5F"/>
      <w:lang w:eastAsia="en-GB"/>
    </w:rPr>
  </w:style>
  <w:style w:type="character" w:customStyle="1" w:styleId="CommentSubjectChar">
    <w:name w:val="Comment Subject Char"/>
    <w:basedOn w:val="CommentTextChar"/>
    <w:link w:val="CommentSubject"/>
    <w:uiPriority w:val="99"/>
    <w:semiHidden/>
    <w:rsid w:val="00FA5EBB"/>
    <w:rPr>
      <w:rFonts w:ascii="Arial" w:eastAsia="Times New Roman" w:hAnsi="Arial" w:cs="Arial"/>
      <w:b/>
      <w:bCs/>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5f1ca39a609ab3a7ce09b9559bd80f3a">
  <xsd:schema xmlns:xsd="http://www.w3.org/2001/XMLSchema" xmlns:xs="http://www.w3.org/2001/XMLSchema" xmlns:p="http://schemas.microsoft.com/office/2006/metadata/properties" xmlns:ns2="17d58d3a-bfaa-4841-9c00-a9ab77d7356c" targetNamespace="http://schemas.microsoft.com/office/2006/metadata/properties" ma:root="true" ma:fieldsID="9f52efa1a90f0ec4737eb6582172bcbb"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3BE04-2B58-4562-B691-7E6308933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3.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Normal.dotm</Template>
  <TotalTime>304</TotalTime>
  <Pages>6</Pages>
  <Words>1299</Words>
  <Characters>6938</Characters>
  <Application>Microsoft Office Word</Application>
  <DocSecurity>8</DocSecurity>
  <Lines>216</Lines>
  <Paragraphs>205</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Alford</dc:creator>
  <cp:keywords/>
  <dc:description/>
  <cp:lastModifiedBy>Will Browne</cp:lastModifiedBy>
  <cp:revision>12</cp:revision>
  <cp:lastPrinted>2023-07-12T13:55:00Z</cp:lastPrinted>
  <dcterms:created xsi:type="dcterms:W3CDTF">2026-02-12T13:45:00Z</dcterms:created>
  <dcterms:modified xsi:type="dcterms:W3CDTF">2026-03-30T08:52:00Z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ies>
</file>